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1B26" w14:textId="65019CEF" w:rsidR="009A18D8" w:rsidRDefault="009A18D8" w:rsidP="00212691">
      <w:pPr>
        <w:spacing w:line="276" w:lineRule="auto"/>
        <w:jc w:val="center"/>
        <w:rPr>
          <w:b/>
          <w:bCs/>
          <w:sz w:val="22"/>
          <w:szCs w:val="22"/>
          <w:u w:val="single"/>
        </w:rPr>
      </w:pPr>
      <w:r w:rsidRPr="00E80180">
        <w:rPr>
          <w:b/>
          <w:bCs/>
          <w:sz w:val="22"/>
          <w:szCs w:val="22"/>
          <w:u w:val="single"/>
        </w:rPr>
        <w:t>Sales Process: Financial Disclosure and Earnings Projections</w:t>
      </w:r>
      <w:r w:rsidR="0090331F">
        <w:rPr>
          <w:rStyle w:val="FootnoteReference"/>
          <w:b/>
          <w:bCs/>
          <w:sz w:val="22"/>
          <w:szCs w:val="22"/>
          <w:u w:val="single"/>
        </w:rPr>
        <w:footnoteReference w:id="1"/>
      </w:r>
      <w:r w:rsidRPr="00E80180">
        <w:rPr>
          <w:b/>
          <w:bCs/>
          <w:sz w:val="22"/>
          <w:szCs w:val="22"/>
          <w:u w:val="single"/>
        </w:rPr>
        <w:t xml:space="preserve"> in Unstable Times </w:t>
      </w:r>
    </w:p>
    <w:p w14:paraId="09BFD52F" w14:textId="236BA8EE" w:rsidR="00D84E2B" w:rsidRPr="00D84E2B" w:rsidRDefault="00D84E2B" w:rsidP="00212691">
      <w:pPr>
        <w:spacing w:line="276" w:lineRule="auto"/>
        <w:jc w:val="center"/>
        <w:rPr>
          <w:b/>
          <w:bCs/>
          <w:sz w:val="22"/>
          <w:szCs w:val="22"/>
          <w:lang w:val="en-US"/>
        </w:rPr>
      </w:pPr>
      <w:r w:rsidRPr="00D84E2B">
        <w:rPr>
          <w:b/>
          <w:bCs/>
          <w:sz w:val="22"/>
          <w:szCs w:val="22"/>
          <w:lang w:val="en-US"/>
        </w:rPr>
        <w:t>David Kornhauser, Andrae Marrocco and A</w:t>
      </w:r>
      <w:r>
        <w:rPr>
          <w:b/>
          <w:bCs/>
          <w:sz w:val="22"/>
          <w:szCs w:val="22"/>
          <w:lang w:val="en-US"/>
        </w:rPr>
        <w:t>shley Caldwell</w:t>
      </w:r>
    </w:p>
    <w:p w14:paraId="138076D2" w14:textId="1BEF1DAC" w:rsidR="009A18D8" w:rsidRDefault="009A18D8" w:rsidP="00212691">
      <w:pPr>
        <w:spacing w:line="276" w:lineRule="auto"/>
        <w:rPr>
          <w:sz w:val="22"/>
          <w:szCs w:val="22"/>
          <w:lang w:val="en-US"/>
        </w:rPr>
      </w:pPr>
      <w:r>
        <w:rPr>
          <w:sz w:val="22"/>
          <w:szCs w:val="22"/>
          <w:lang w:val="en-US"/>
        </w:rPr>
        <w:t>One of the more significant concerns</w:t>
      </w:r>
      <w:r w:rsidRPr="00920387">
        <w:rPr>
          <w:sz w:val="22"/>
          <w:szCs w:val="22"/>
          <w:lang w:val="en-US"/>
        </w:rPr>
        <w:t xml:space="preserve"> for </w:t>
      </w:r>
      <w:r>
        <w:rPr>
          <w:sz w:val="22"/>
          <w:szCs w:val="22"/>
          <w:lang w:val="en-US"/>
        </w:rPr>
        <w:t xml:space="preserve">a </w:t>
      </w:r>
      <w:r w:rsidRPr="00920387">
        <w:rPr>
          <w:sz w:val="22"/>
          <w:szCs w:val="22"/>
          <w:lang w:val="en-US"/>
        </w:rPr>
        <w:t>prospective franchisee</w:t>
      </w:r>
      <w:r>
        <w:rPr>
          <w:sz w:val="22"/>
          <w:szCs w:val="22"/>
          <w:lang w:val="en-US"/>
        </w:rPr>
        <w:t xml:space="preserve"> when deciding whether to acquire a franchise</w:t>
      </w:r>
      <w:r w:rsidRPr="00920387">
        <w:rPr>
          <w:sz w:val="22"/>
          <w:szCs w:val="22"/>
          <w:lang w:val="en-US"/>
        </w:rPr>
        <w:t xml:space="preserve"> is the anticipated return on</w:t>
      </w:r>
      <w:r>
        <w:rPr>
          <w:sz w:val="22"/>
          <w:szCs w:val="22"/>
          <w:lang w:val="en-US"/>
        </w:rPr>
        <w:t xml:space="preserve"> its</w:t>
      </w:r>
      <w:r w:rsidRPr="00920387">
        <w:rPr>
          <w:sz w:val="22"/>
          <w:szCs w:val="22"/>
          <w:lang w:val="en-US"/>
        </w:rPr>
        <w:t xml:space="preserve"> investment</w:t>
      </w:r>
      <w:r>
        <w:rPr>
          <w:sz w:val="22"/>
          <w:szCs w:val="22"/>
          <w:lang w:val="en-US"/>
        </w:rPr>
        <w:t>.</w:t>
      </w:r>
      <w:r w:rsidR="00C2052A">
        <w:rPr>
          <w:sz w:val="22"/>
          <w:szCs w:val="22"/>
          <w:lang w:val="en-US"/>
        </w:rPr>
        <w:t xml:space="preserve"> </w:t>
      </w:r>
      <w:r>
        <w:rPr>
          <w:sz w:val="22"/>
          <w:szCs w:val="22"/>
          <w:lang w:val="en-US"/>
        </w:rPr>
        <w:t>Although r</w:t>
      </w:r>
      <w:r w:rsidRPr="00920387">
        <w:rPr>
          <w:sz w:val="22"/>
          <w:szCs w:val="22"/>
          <w:lang w:val="en-US"/>
        </w:rPr>
        <w:t>eliable information regarding projected earnings</w:t>
      </w:r>
      <w:r w:rsidRPr="00E80180">
        <w:rPr>
          <w:sz w:val="22"/>
          <w:szCs w:val="22"/>
          <w:lang w:val="en-US"/>
        </w:rPr>
        <w:t xml:space="preserve"> </w:t>
      </w:r>
      <w:r w:rsidRPr="00920387">
        <w:rPr>
          <w:sz w:val="22"/>
          <w:szCs w:val="22"/>
          <w:lang w:val="en-US"/>
        </w:rPr>
        <w:t xml:space="preserve">is critical </w:t>
      </w:r>
      <w:r>
        <w:rPr>
          <w:sz w:val="22"/>
          <w:szCs w:val="22"/>
          <w:lang w:val="en-US"/>
        </w:rPr>
        <w:t>to permit</w:t>
      </w:r>
      <w:r w:rsidRPr="00920387">
        <w:rPr>
          <w:sz w:val="22"/>
          <w:szCs w:val="22"/>
          <w:lang w:val="en-US"/>
        </w:rPr>
        <w:t xml:space="preserve"> </w:t>
      </w:r>
      <w:r>
        <w:rPr>
          <w:sz w:val="22"/>
          <w:szCs w:val="22"/>
          <w:lang w:val="en-US"/>
        </w:rPr>
        <w:t xml:space="preserve">a franchisee to evaluate what the anticipated return on its investment might be, </w:t>
      </w:r>
      <w:r w:rsidR="00C6315D">
        <w:rPr>
          <w:sz w:val="22"/>
          <w:szCs w:val="22"/>
          <w:lang w:val="en-US"/>
        </w:rPr>
        <w:t xml:space="preserve">since franchisors are not obligated under franchise legislation to provide this information </w:t>
      </w:r>
      <w:r>
        <w:rPr>
          <w:sz w:val="22"/>
          <w:szCs w:val="22"/>
          <w:lang w:val="en-US"/>
        </w:rPr>
        <w:t xml:space="preserve">many franchisors </w:t>
      </w:r>
      <w:r w:rsidR="00212691">
        <w:rPr>
          <w:sz w:val="22"/>
          <w:szCs w:val="22"/>
          <w:lang w:val="en-US"/>
        </w:rPr>
        <w:t>choose not to</w:t>
      </w:r>
      <w:r>
        <w:rPr>
          <w:sz w:val="22"/>
          <w:szCs w:val="22"/>
          <w:lang w:val="en-US"/>
        </w:rPr>
        <w:t xml:space="preserve"> provide </w:t>
      </w:r>
      <w:r w:rsidR="000B2BB4">
        <w:rPr>
          <w:sz w:val="22"/>
          <w:szCs w:val="22"/>
          <w:lang w:val="en-US"/>
        </w:rPr>
        <w:t>Earnings Projection</w:t>
      </w:r>
      <w:r>
        <w:rPr>
          <w:sz w:val="22"/>
          <w:szCs w:val="22"/>
          <w:lang w:val="en-US"/>
        </w:rPr>
        <w:t>s</w:t>
      </w:r>
      <w:r w:rsidR="00734F4A">
        <w:rPr>
          <w:rStyle w:val="FootnoteReference"/>
          <w:sz w:val="22"/>
          <w:szCs w:val="22"/>
          <w:lang w:val="en-US"/>
        </w:rPr>
        <w:footnoteReference w:id="2"/>
      </w:r>
      <w:r w:rsidR="006073ED">
        <w:rPr>
          <w:sz w:val="22"/>
          <w:szCs w:val="22"/>
          <w:lang w:val="en-US"/>
        </w:rPr>
        <w:t>.</w:t>
      </w:r>
      <w:r>
        <w:rPr>
          <w:sz w:val="22"/>
          <w:szCs w:val="22"/>
          <w:lang w:val="en-US"/>
        </w:rPr>
        <w:t xml:space="preserve"> Instead, franchisors </w:t>
      </w:r>
      <w:r w:rsidR="00212691">
        <w:rPr>
          <w:sz w:val="22"/>
          <w:szCs w:val="22"/>
          <w:lang w:val="en-US"/>
        </w:rPr>
        <w:t xml:space="preserve">often </w:t>
      </w:r>
      <w:r>
        <w:rPr>
          <w:sz w:val="22"/>
          <w:szCs w:val="22"/>
          <w:lang w:val="en-US"/>
        </w:rPr>
        <w:t>leave it to prospective franchisee</w:t>
      </w:r>
      <w:r w:rsidR="00E0301B">
        <w:rPr>
          <w:sz w:val="22"/>
          <w:szCs w:val="22"/>
          <w:lang w:val="en-US"/>
        </w:rPr>
        <w:t>s</w:t>
      </w:r>
      <w:r>
        <w:rPr>
          <w:sz w:val="22"/>
          <w:szCs w:val="22"/>
          <w:lang w:val="en-US"/>
        </w:rPr>
        <w:t xml:space="preserve"> to develop this information on their own, by speaking to other franchisees and/or using consultants to write a business plan based on the industry in which the franchise operates.</w:t>
      </w:r>
      <w:r w:rsidR="00C2052A">
        <w:rPr>
          <w:sz w:val="22"/>
          <w:szCs w:val="22"/>
          <w:lang w:val="en-US"/>
        </w:rPr>
        <w:t xml:space="preserve"> </w:t>
      </w:r>
    </w:p>
    <w:p w14:paraId="2498AC73" w14:textId="35702789" w:rsidR="00923F35" w:rsidRPr="00431F2F" w:rsidRDefault="00221398" w:rsidP="00212691">
      <w:pPr>
        <w:spacing w:line="276" w:lineRule="auto"/>
        <w:rPr>
          <w:sz w:val="22"/>
          <w:szCs w:val="22"/>
        </w:rPr>
      </w:pPr>
      <w:r>
        <w:rPr>
          <w:sz w:val="22"/>
          <w:szCs w:val="22"/>
        </w:rPr>
        <w:t>T</w:t>
      </w:r>
      <w:r w:rsidR="00923F35" w:rsidRPr="00431F2F">
        <w:rPr>
          <w:sz w:val="22"/>
          <w:szCs w:val="22"/>
        </w:rPr>
        <w:t xml:space="preserve">here are legitimate business and legal reasons why a franchisor might choose not to provide </w:t>
      </w:r>
      <w:r w:rsidR="000B2BB4">
        <w:rPr>
          <w:sz w:val="22"/>
          <w:szCs w:val="22"/>
        </w:rPr>
        <w:t>Earnings Projection</w:t>
      </w:r>
      <w:r w:rsidR="00923F35" w:rsidRPr="00431F2F">
        <w:rPr>
          <w:sz w:val="22"/>
          <w:szCs w:val="22"/>
        </w:rPr>
        <w:t xml:space="preserve">s. New franchise systems or those that have recently undergone significant operational changes may lack sufficient historical data to create meaningful projections with a reasonable basis. Some franchise concepts exhibit significant performance variability based on factors such as location, local market conditions, franchisee skill and effort, or seasonal fluctuations, making representative projections challenging. In periods of significant economic disruption, historical performance data may have limited predictive value for future results. </w:t>
      </w:r>
      <w:r w:rsidR="00EA582C">
        <w:rPr>
          <w:sz w:val="22"/>
          <w:szCs w:val="22"/>
        </w:rPr>
        <w:t>Finally, g</w:t>
      </w:r>
      <w:r w:rsidR="00923F35" w:rsidRPr="00431F2F">
        <w:rPr>
          <w:sz w:val="22"/>
          <w:szCs w:val="22"/>
        </w:rPr>
        <w:t xml:space="preserve">iven the strict judicial interpretation of disclosure requirements and the severe consequences of non-compliance, some franchisors may reasonably conclude that the legal risks of providing </w:t>
      </w:r>
      <w:r w:rsidR="000B2BB4">
        <w:rPr>
          <w:sz w:val="22"/>
          <w:szCs w:val="22"/>
        </w:rPr>
        <w:t>Earnings Projection</w:t>
      </w:r>
      <w:r w:rsidR="00923F35" w:rsidRPr="00431F2F">
        <w:rPr>
          <w:sz w:val="22"/>
          <w:szCs w:val="22"/>
        </w:rPr>
        <w:t>s outweigh the potential business benefits.</w:t>
      </w:r>
    </w:p>
    <w:p w14:paraId="68AB9F26" w14:textId="44FA148D" w:rsidR="005B7046" w:rsidRPr="00EA582C" w:rsidRDefault="00EA582C" w:rsidP="00212691">
      <w:pPr>
        <w:spacing w:line="276" w:lineRule="auto"/>
        <w:rPr>
          <w:sz w:val="22"/>
          <w:szCs w:val="22"/>
        </w:rPr>
      </w:pPr>
      <w:r>
        <w:rPr>
          <w:sz w:val="22"/>
          <w:szCs w:val="22"/>
          <w:lang w:val="en-US"/>
        </w:rPr>
        <w:t xml:space="preserve">Conversely, </w:t>
      </w:r>
      <w:r>
        <w:rPr>
          <w:sz w:val="22"/>
          <w:szCs w:val="22"/>
        </w:rPr>
        <w:t>s</w:t>
      </w:r>
      <w:r w:rsidR="00923F35" w:rsidRPr="00431F2F">
        <w:rPr>
          <w:sz w:val="22"/>
          <w:szCs w:val="22"/>
        </w:rPr>
        <w:t xml:space="preserve">everal considerations may lead a franchisor to conclude that providing </w:t>
      </w:r>
      <w:r w:rsidR="000B2BB4">
        <w:rPr>
          <w:sz w:val="22"/>
          <w:szCs w:val="22"/>
        </w:rPr>
        <w:t>Earnings Projection</w:t>
      </w:r>
      <w:r w:rsidR="00923F35" w:rsidRPr="00431F2F">
        <w:rPr>
          <w:sz w:val="22"/>
          <w:szCs w:val="22"/>
        </w:rPr>
        <w:t>s is strategically advantageous.</w:t>
      </w:r>
      <w:r w:rsidR="00923F35">
        <w:rPr>
          <w:sz w:val="22"/>
          <w:szCs w:val="22"/>
        </w:rPr>
        <w:t xml:space="preserve"> </w:t>
      </w:r>
      <w:r w:rsidR="00923F35" w:rsidRPr="00431F2F">
        <w:rPr>
          <w:sz w:val="22"/>
          <w:szCs w:val="22"/>
        </w:rPr>
        <w:t xml:space="preserve">In </w:t>
      </w:r>
      <w:r w:rsidR="00923F35">
        <w:rPr>
          <w:sz w:val="22"/>
          <w:szCs w:val="22"/>
        </w:rPr>
        <w:t>some</w:t>
      </w:r>
      <w:r w:rsidR="00923F35" w:rsidRPr="00431F2F">
        <w:rPr>
          <w:sz w:val="22"/>
          <w:szCs w:val="22"/>
        </w:rPr>
        <w:t xml:space="preserve"> franchise sectors, prospective franchisees have come to expect financial performance information as a standard component of the disclosure package. Franchisors competing for qualified candidates may find themselves at a disadvantage if competitors are providing detailed financial projections while they remain silent. Today's prospective franchisees are often experienced business operators or investors who approach franchise acquisition with analytical rigour and typically have access to professional advisors who expect to review detailed </w:t>
      </w:r>
      <w:r w:rsidR="00923F35">
        <w:rPr>
          <w:sz w:val="22"/>
          <w:szCs w:val="22"/>
        </w:rPr>
        <w:t xml:space="preserve">financial </w:t>
      </w:r>
      <w:r w:rsidR="00923F35" w:rsidRPr="00431F2F">
        <w:rPr>
          <w:sz w:val="22"/>
          <w:szCs w:val="22"/>
        </w:rPr>
        <w:t xml:space="preserve">projections. </w:t>
      </w:r>
    </w:p>
    <w:p w14:paraId="7C9DE4AB" w14:textId="7A7125EA" w:rsidR="00B27C32" w:rsidRPr="00253D79" w:rsidRDefault="000B08A1" w:rsidP="00212691">
      <w:pPr>
        <w:spacing w:line="276" w:lineRule="auto"/>
        <w:rPr>
          <w:sz w:val="22"/>
          <w:szCs w:val="22"/>
          <w:lang w:val="en-US"/>
        </w:rPr>
      </w:pPr>
      <w:proofErr w:type="gramStart"/>
      <w:r>
        <w:rPr>
          <w:sz w:val="22"/>
          <w:szCs w:val="22"/>
          <w:lang w:val="en-US"/>
        </w:rPr>
        <w:t>Similar to</w:t>
      </w:r>
      <w:proofErr w:type="gramEnd"/>
      <w:r>
        <w:rPr>
          <w:sz w:val="22"/>
          <w:szCs w:val="22"/>
          <w:lang w:val="en-US"/>
        </w:rPr>
        <w:t xml:space="preserve"> </w:t>
      </w:r>
      <w:r w:rsidR="009A18D8">
        <w:rPr>
          <w:sz w:val="22"/>
          <w:szCs w:val="22"/>
          <w:lang w:val="en-US"/>
        </w:rPr>
        <w:t>securities laws</w:t>
      </w:r>
      <w:r w:rsidR="00B63DDB">
        <w:rPr>
          <w:sz w:val="22"/>
          <w:szCs w:val="22"/>
          <w:lang w:val="en-US"/>
        </w:rPr>
        <w:t xml:space="preserve"> whereby</w:t>
      </w:r>
      <w:r w:rsidR="007E1535">
        <w:rPr>
          <w:sz w:val="22"/>
          <w:szCs w:val="22"/>
          <w:lang w:val="en-US"/>
        </w:rPr>
        <w:t xml:space="preserve"> an issuer may provide</w:t>
      </w:r>
      <w:r w:rsidR="009A18D8">
        <w:rPr>
          <w:sz w:val="22"/>
          <w:szCs w:val="22"/>
          <w:lang w:val="en-US"/>
        </w:rPr>
        <w:t xml:space="preserve"> </w:t>
      </w:r>
      <w:r w:rsidR="009A18D8" w:rsidRPr="008C5209">
        <w:rPr>
          <w:sz w:val="22"/>
          <w:szCs w:val="22"/>
          <w:lang w:val="en-US"/>
        </w:rPr>
        <w:t>pro forma projections that will serve as the basis for investors acquiring the securities</w:t>
      </w:r>
      <w:r w:rsidR="00D82FEB">
        <w:rPr>
          <w:sz w:val="22"/>
          <w:szCs w:val="22"/>
          <w:lang w:val="en-US"/>
        </w:rPr>
        <w:t xml:space="preserve"> of an issuer</w:t>
      </w:r>
      <w:r w:rsidR="00F017D6">
        <w:rPr>
          <w:sz w:val="22"/>
          <w:szCs w:val="22"/>
          <w:lang w:val="en-US"/>
        </w:rPr>
        <w:t xml:space="preserve"> </w:t>
      </w:r>
      <w:r w:rsidR="00D82FEB">
        <w:rPr>
          <w:sz w:val="22"/>
          <w:szCs w:val="22"/>
          <w:lang w:val="en-US"/>
        </w:rPr>
        <w:t>(</w:t>
      </w:r>
      <w:r w:rsidR="00F017D6">
        <w:rPr>
          <w:sz w:val="22"/>
          <w:szCs w:val="22"/>
          <w:lang w:val="en-US"/>
        </w:rPr>
        <w:t xml:space="preserve">called </w:t>
      </w:r>
      <w:r w:rsidR="00F017D6" w:rsidRPr="008C5209">
        <w:rPr>
          <w:sz w:val="22"/>
          <w:szCs w:val="22"/>
          <w:lang w:val="en-US"/>
        </w:rPr>
        <w:t>“forward-looking financial information” (“</w:t>
      </w:r>
      <w:r w:rsidR="00F017D6" w:rsidRPr="00235FA5">
        <w:rPr>
          <w:b/>
          <w:bCs/>
          <w:sz w:val="22"/>
          <w:szCs w:val="22"/>
          <w:lang w:val="en-US"/>
        </w:rPr>
        <w:t>FOFI</w:t>
      </w:r>
      <w:r w:rsidR="00F017D6" w:rsidRPr="008C5209">
        <w:rPr>
          <w:sz w:val="22"/>
          <w:szCs w:val="22"/>
          <w:lang w:val="en-US"/>
        </w:rPr>
        <w:t>”)</w:t>
      </w:r>
      <w:r w:rsidR="00D82FEB">
        <w:rPr>
          <w:sz w:val="22"/>
          <w:szCs w:val="22"/>
          <w:lang w:val="en-US"/>
        </w:rPr>
        <w:t>)</w:t>
      </w:r>
      <w:r w:rsidR="00F017D6">
        <w:rPr>
          <w:rStyle w:val="FootnoteReference"/>
          <w:sz w:val="22"/>
          <w:szCs w:val="22"/>
          <w:lang w:val="en-US"/>
        </w:rPr>
        <w:footnoteReference w:id="3"/>
      </w:r>
      <w:r w:rsidR="00D82FEB">
        <w:rPr>
          <w:sz w:val="22"/>
          <w:szCs w:val="22"/>
          <w:lang w:val="en-US"/>
        </w:rPr>
        <w:t xml:space="preserve">, </w:t>
      </w:r>
      <w:r w:rsidR="00665047">
        <w:rPr>
          <w:sz w:val="22"/>
          <w:szCs w:val="22"/>
          <w:lang w:val="en-US"/>
        </w:rPr>
        <w:t>t</w:t>
      </w:r>
      <w:r w:rsidR="00D82FEB">
        <w:rPr>
          <w:sz w:val="22"/>
          <w:szCs w:val="22"/>
          <w:lang w:val="en-US"/>
        </w:rPr>
        <w:t>her</w:t>
      </w:r>
      <w:r w:rsidR="00EC5B13">
        <w:rPr>
          <w:sz w:val="22"/>
          <w:szCs w:val="22"/>
          <w:lang w:val="en-US"/>
        </w:rPr>
        <w:t>e are</w:t>
      </w:r>
      <w:r w:rsidR="00D82FEB">
        <w:rPr>
          <w:sz w:val="22"/>
          <w:szCs w:val="22"/>
          <w:lang w:val="en-US"/>
        </w:rPr>
        <w:t xml:space="preserve"> certain instances in which a franchisor may find it necessary,</w:t>
      </w:r>
      <w:r w:rsidR="00F72301">
        <w:rPr>
          <w:sz w:val="22"/>
          <w:szCs w:val="22"/>
          <w:lang w:val="en-US"/>
        </w:rPr>
        <w:t xml:space="preserve"> or as stated above, </w:t>
      </w:r>
      <w:r w:rsidR="00F72301">
        <w:rPr>
          <w:sz w:val="22"/>
          <w:szCs w:val="22"/>
          <w:lang w:val="en-US"/>
        </w:rPr>
        <w:lastRenderedPageBreak/>
        <w:t>desirable,</w:t>
      </w:r>
      <w:r w:rsidR="00D82FEB">
        <w:rPr>
          <w:sz w:val="22"/>
          <w:szCs w:val="22"/>
          <w:lang w:val="en-US"/>
        </w:rPr>
        <w:t xml:space="preserve"> to include </w:t>
      </w:r>
      <w:r w:rsidR="000B2BB4">
        <w:rPr>
          <w:sz w:val="22"/>
          <w:szCs w:val="22"/>
          <w:lang w:val="en-US"/>
        </w:rPr>
        <w:t>Earnings Projection</w:t>
      </w:r>
      <w:r w:rsidR="00D82FEB">
        <w:rPr>
          <w:sz w:val="22"/>
          <w:szCs w:val="22"/>
          <w:lang w:val="en-US"/>
        </w:rPr>
        <w:t xml:space="preserve">s. </w:t>
      </w:r>
      <w:r w:rsidR="009A18D8">
        <w:rPr>
          <w:sz w:val="22"/>
          <w:szCs w:val="22"/>
          <w:lang w:val="en-US"/>
        </w:rPr>
        <w:t>The</w:t>
      </w:r>
      <w:r w:rsidR="009A18D8" w:rsidRPr="00920387">
        <w:rPr>
          <w:sz w:val="22"/>
          <w:szCs w:val="22"/>
          <w:lang w:val="en-US"/>
        </w:rPr>
        <w:t xml:space="preserve"> legal and practical implications of </w:t>
      </w:r>
      <w:r w:rsidR="009A18D8">
        <w:rPr>
          <w:sz w:val="22"/>
          <w:szCs w:val="22"/>
          <w:lang w:val="en-US"/>
        </w:rPr>
        <w:t xml:space="preserve">franchisors </w:t>
      </w:r>
      <w:r w:rsidR="009A18D8" w:rsidRPr="00920387">
        <w:rPr>
          <w:sz w:val="22"/>
          <w:szCs w:val="22"/>
          <w:lang w:val="en-US"/>
        </w:rPr>
        <w:t>providin</w:t>
      </w:r>
      <w:r w:rsidR="003176B6">
        <w:rPr>
          <w:sz w:val="22"/>
          <w:szCs w:val="22"/>
          <w:lang w:val="en-US"/>
        </w:rPr>
        <w:t xml:space="preserve">g </w:t>
      </w:r>
      <w:r w:rsidR="000B2BB4">
        <w:rPr>
          <w:sz w:val="22"/>
          <w:szCs w:val="22"/>
          <w:lang w:val="en-US"/>
        </w:rPr>
        <w:t>Earnings Projection</w:t>
      </w:r>
      <w:r w:rsidR="009A18D8" w:rsidRPr="00E80180">
        <w:rPr>
          <w:sz w:val="22"/>
          <w:szCs w:val="22"/>
          <w:lang w:val="en-US"/>
        </w:rPr>
        <w:t>s</w:t>
      </w:r>
      <w:r w:rsidR="009A18D8" w:rsidRPr="00920387">
        <w:rPr>
          <w:sz w:val="22"/>
          <w:szCs w:val="22"/>
          <w:lang w:val="en-US"/>
        </w:rPr>
        <w:t xml:space="preserve"> are shaped </w:t>
      </w:r>
      <w:r w:rsidR="00202CBF">
        <w:rPr>
          <w:sz w:val="22"/>
          <w:szCs w:val="22"/>
          <w:lang w:val="en-US"/>
        </w:rPr>
        <w:t>by the franchise</w:t>
      </w:r>
      <w:r w:rsidR="009A18D8" w:rsidRPr="00920387">
        <w:rPr>
          <w:sz w:val="22"/>
          <w:szCs w:val="22"/>
          <w:lang w:val="en-US"/>
        </w:rPr>
        <w:t xml:space="preserve"> statut</w:t>
      </w:r>
      <w:r w:rsidR="00202CBF">
        <w:rPr>
          <w:sz w:val="22"/>
          <w:szCs w:val="22"/>
          <w:lang w:val="en-US"/>
        </w:rPr>
        <w:t xml:space="preserve">es across Canada, </w:t>
      </w:r>
      <w:r w:rsidR="00B5753E">
        <w:rPr>
          <w:sz w:val="22"/>
          <w:szCs w:val="22"/>
          <w:lang w:val="en-US"/>
        </w:rPr>
        <w:t>accounting principles and guidelines, a</w:t>
      </w:r>
      <w:r w:rsidR="002B0445">
        <w:rPr>
          <w:sz w:val="22"/>
          <w:szCs w:val="22"/>
          <w:lang w:val="en-US"/>
        </w:rPr>
        <w:t>nd</w:t>
      </w:r>
      <w:r w:rsidR="009A18D8" w:rsidRPr="00920387">
        <w:rPr>
          <w:sz w:val="22"/>
          <w:szCs w:val="22"/>
          <w:lang w:val="en-US"/>
        </w:rPr>
        <w:t xml:space="preserve"> evolving judicial interpretation. The </w:t>
      </w:r>
      <w:r w:rsidR="009A18D8">
        <w:rPr>
          <w:sz w:val="22"/>
          <w:szCs w:val="22"/>
          <w:lang w:val="en-US"/>
        </w:rPr>
        <w:t>Courts have</w:t>
      </w:r>
      <w:r w:rsidR="009A18D8" w:rsidRPr="00920387">
        <w:rPr>
          <w:sz w:val="22"/>
          <w:szCs w:val="22"/>
          <w:lang w:val="en-US"/>
        </w:rPr>
        <w:t xml:space="preserve"> consistently underscored the paramount importance of comprehensive and accurate disclosure, </w:t>
      </w:r>
      <w:r w:rsidR="009A18D8">
        <w:rPr>
          <w:sz w:val="22"/>
          <w:szCs w:val="22"/>
          <w:lang w:val="en-US"/>
        </w:rPr>
        <w:t>including particularly</w:t>
      </w:r>
      <w:r w:rsidR="009A18D8" w:rsidRPr="00920387">
        <w:rPr>
          <w:sz w:val="22"/>
          <w:szCs w:val="22"/>
          <w:lang w:val="en-US"/>
        </w:rPr>
        <w:t xml:space="preserve"> financial information to protect prospective franchisees and</w:t>
      </w:r>
      <w:r w:rsidR="007D0522">
        <w:rPr>
          <w:sz w:val="22"/>
          <w:szCs w:val="22"/>
          <w:lang w:val="en-US"/>
        </w:rPr>
        <w:t xml:space="preserve"> to</w:t>
      </w:r>
      <w:r w:rsidR="009A18D8" w:rsidRPr="00920387">
        <w:rPr>
          <w:sz w:val="22"/>
          <w:szCs w:val="22"/>
          <w:lang w:val="en-US"/>
        </w:rPr>
        <w:t xml:space="preserve"> ensure they can make</w:t>
      </w:r>
      <w:r w:rsidR="009A18D8">
        <w:rPr>
          <w:sz w:val="22"/>
          <w:szCs w:val="22"/>
          <w:lang w:val="en-US"/>
        </w:rPr>
        <w:t xml:space="preserve"> an</w:t>
      </w:r>
      <w:r w:rsidR="009A18D8" w:rsidRPr="00920387">
        <w:rPr>
          <w:sz w:val="22"/>
          <w:szCs w:val="22"/>
          <w:lang w:val="en-US"/>
        </w:rPr>
        <w:t xml:space="preserve"> informed investment decision.</w:t>
      </w:r>
    </w:p>
    <w:p w14:paraId="36E921C2" w14:textId="0E98924D" w:rsidR="0072424B" w:rsidRPr="00D36F66" w:rsidRDefault="0072424B" w:rsidP="00212691">
      <w:pPr>
        <w:pStyle w:val="ListParagraph"/>
        <w:numPr>
          <w:ilvl w:val="0"/>
          <w:numId w:val="18"/>
        </w:numPr>
        <w:spacing w:line="276" w:lineRule="auto"/>
        <w:rPr>
          <w:b/>
          <w:bCs/>
          <w:sz w:val="22"/>
          <w:szCs w:val="22"/>
          <w:lang w:val="en-US"/>
        </w:rPr>
      </w:pPr>
      <w:r w:rsidRPr="00D36F66">
        <w:rPr>
          <w:b/>
          <w:bCs/>
          <w:sz w:val="22"/>
          <w:szCs w:val="22"/>
          <w:lang w:val="en-US"/>
        </w:rPr>
        <w:t>The Legal Framework for</w:t>
      </w:r>
      <w:r w:rsidR="00D92365" w:rsidRPr="00D36F66">
        <w:rPr>
          <w:b/>
          <w:bCs/>
          <w:sz w:val="22"/>
          <w:szCs w:val="22"/>
          <w:lang w:val="en-US"/>
        </w:rPr>
        <w:t xml:space="preserve"> Financial Disclosure and Earnings Projections</w:t>
      </w:r>
    </w:p>
    <w:p w14:paraId="34D7DA69" w14:textId="18904D7C" w:rsidR="0072424B" w:rsidRDefault="00C4511E" w:rsidP="00212691">
      <w:pPr>
        <w:spacing w:line="276" w:lineRule="auto"/>
        <w:rPr>
          <w:sz w:val="22"/>
          <w:szCs w:val="22"/>
          <w:lang w:val="en-US"/>
        </w:rPr>
      </w:pPr>
      <w:r>
        <w:rPr>
          <w:sz w:val="22"/>
          <w:szCs w:val="22"/>
          <w:lang w:val="en-US"/>
        </w:rPr>
        <w:t>Franchise</w:t>
      </w:r>
      <w:r w:rsidR="0072424B" w:rsidRPr="00920387">
        <w:rPr>
          <w:sz w:val="22"/>
          <w:szCs w:val="22"/>
          <w:lang w:val="en-US"/>
        </w:rPr>
        <w:t xml:space="preserve"> disclosure in Ontario is </w:t>
      </w:r>
      <w:r>
        <w:rPr>
          <w:sz w:val="22"/>
          <w:szCs w:val="22"/>
          <w:lang w:val="en-US"/>
        </w:rPr>
        <w:t xml:space="preserve">regulated </w:t>
      </w:r>
      <w:r w:rsidR="0072424B" w:rsidRPr="00920387">
        <w:rPr>
          <w:sz w:val="22"/>
          <w:szCs w:val="22"/>
          <w:lang w:val="en-US"/>
        </w:rPr>
        <w:t>by the </w:t>
      </w:r>
      <w:r w:rsidR="0072424B" w:rsidRPr="00920387">
        <w:rPr>
          <w:i/>
          <w:iCs/>
          <w:sz w:val="22"/>
          <w:szCs w:val="22"/>
          <w:lang w:val="en-US"/>
        </w:rPr>
        <w:t>Arthur Wishart Act (Franchise Disclosure), 2000</w:t>
      </w:r>
      <w:r w:rsidR="00D92365" w:rsidRPr="00E80180">
        <w:rPr>
          <w:rStyle w:val="FootnoteReference"/>
          <w:i/>
          <w:iCs/>
          <w:sz w:val="22"/>
          <w:szCs w:val="22"/>
          <w:lang w:val="en-US"/>
        </w:rPr>
        <w:footnoteReference w:id="4"/>
      </w:r>
      <w:r w:rsidR="00D92365" w:rsidRPr="00E80180">
        <w:rPr>
          <w:sz w:val="22"/>
          <w:szCs w:val="22"/>
          <w:lang w:val="en-US"/>
        </w:rPr>
        <w:t xml:space="preserve"> (the </w:t>
      </w:r>
      <w:r w:rsidR="000946DC">
        <w:rPr>
          <w:sz w:val="22"/>
          <w:szCs w:val="22"/>
          <w:lang w:val="en-US"/>
        </w:rPr>
        <w:t>“</w:t>
      </w:r>
      <w:r w:rsidR="00D92365" w:rsidRPr="00E80180">
        <w:rPr>
          <w:b/>
          <w:bCs/>
          <w:sz w:val="22"/>
          <w:szCs w:val="22"/>
          <w:lang w:val="en-US"/>
        </w:rPr>
        <w:t>Act</w:t>
      </w:r>
      <w:r w:rsidR="000946DC">
        <w:rPr>
          <w:sz w:val="22"/>
          <w:szCs w:val="22"/>
          <w:lang w:val="en-US"/>
        </w:rPr>
        <w:t>”</w:t>
      </w:r>
      <w:r w:rsidR="00D92365" w:rsidRPr="00E80180">
        <w:rPr>
          <w:sz w:val="22"/>
          <w:szCs w:val="22"/>
          <w:lang w:val="en-US"/>
        </w:rPr>
        <w:t xml:space="preserve">) </w:t>
      </w:r>
      <w:r w:rsidR="0072424B" w:rsidRPr="00920387">
        <w:rPr>
          <w:sz w:val="22"/>
          <w:szCs w:val="22"/>
          <w:lang w:val="en-US"/>
        </w:rPr>
        <w:t>and its accompanying regulation</w:t>
      </w:r>
      <w:r w:rsidR="00D92365" w:rsidRPr="00E80180">
        <w:rPr>
          <w:rStyle w:val="FootnoteReference"/>
          <w:sz w:val="22"/>
          <w:szCs w:val="22"/>
          <w:lang w:val="en-US"/>
        </w:rPr>
        <w:footnoteReference w:id="5"/>
      </w:r>
      <w:r w:rsidR="00D92365" w:rsidRPr="00E80180">
        <w:rPr>
          <w:sz w:val="22"/>
          <w:szCs w:val="22"/>
          <w:lang w:val="en-US"/>
        </w:rPr>
        <w:t xml:space="preserve"> (the </w:t>
      </w:r>
      <w:r w:rsidR="000946DC">
        <w:rPr>
          <w:sz w:val="22"/>
          <w:szCs w:val="22"/>
          <w:lang w:val="en-US"/>
        </w:rPr>
        <w:t>“</w:t>
      </w:r>
      <w:r w:rsidR="00D92365" w:rsidRPr="00E80180">
        <w:rPr>
          <w:b/>
          <w:bCs/>
          <w:sz w:val="22"/>
          <w:szCs w:val="22"/>
          <w:lang w:val="en-US"/>
        </w:rPr>
        <w:t>Regulation</w:t>
      </w:r>
      <w:r w:rsidR="000946DC">
        <w:rPr>
          <w:sz w:val="22"/>
          <w:szCs w:val="22"/>
          <w:lang w:val="en-US"/>
        </w:rPr>
        <w:t>”</w:t>
      </w:r>
      <w:r w:rsidR="00AF2028">
        <w:rPr>
          <w:sz w:val="22"/>
          <w:szCs w:val="22"/>
          <w:lang w:val="en-US"/>
        </w:rPr>
        <w:t xml:space="preserve"> or </w:t>
      </w:r>
      <w:r w:rsidR="000946DC">
        <w:rPr>
          <w:sz w:val="22"/>
          <w:szCs w:val="22"/>
          <w:lang w:val="en-US"/>
        </w:rPr>
        <w:t>“</w:t>
      </w:r>
      <w:r w:rsidR="00AF2028" w:rsidRPr="00AF2028">
        <w:rPr>
          <w:b/>
          <w:bCs/>
          <w:sz w:val="22"/>
          <w:szCs w:val="22"/>
          <w:lang w:val="en-US"/>
        </w:rPr>
        <w:t>Ontario Regulation</w:t>
      </w:r>
      <w:r w:rsidR="000946DC">
        <w:rPr>
          <w:sz w:val="22"/>
          <w:szCs w:val="22"/>
          <w:lang w:val="en-US"/>
        </w:rPr>
        <w:t>”</w:t>
      </w:r>
      <w:r w:rsidR="00D92365" w:rsidRPr="00E80180">
        <w:rPr>
          <w:sz w:val="22"/>
          <w:szCs w:val="22"/>
          <w:lang w:val="en-US"/>
        </w:rPr>
        <w:t>)</w:t>
      </w:r>
      <w:r w:rsidR="00507D8F">
        <w:rPr>
          <w:rStyle w:val="FootnoteReference"/>
          <w:sz w:val="22"/>
          <w:szCs w:val="22"/>
          <w:lang w:val="en-US"/>
        </w:rPr>
        <w:footnoteReference w:id="6"/>
      </w:r>
      <w:r w:rsidR="0072424B" w:rsidRPr="00920387">
        <w:rPr>
          <w:sz w:val="22"/>
          <w:szCs w:val="22"/>
          <w:lang w:val="en-US"/>
        </w:rPr>
        <w:t xml:space="preserve">. The Act is widely recognized as franchisee-protective legislation, imposing rigorous disclosure obligations on franchisors and </w:t>
      </w:r>
      <w:r w:rsidR="000771B2" w:rsidRPr="00920387">
        <w:rPr>
          <w:sz w:val="22"/>
          <w:szCs w:val="22"/>
          <w:lang w:val="en-US"/>
        </w:rPr>
        <w:t>granting</w:t>
      </w:r>
      <w:r w:rsidR="0072424B" w:rsidRPr="00920387">
        <w:rPr>
          <w:sz w:val="22"/>
          <w:szCs w:val="22"/>
          <w:lang w:val="en-US"/>
        </w:rPr>
        <w:t xml:space="preserve"> significant remedies</w:t>
      </w:r>
      <w:r w:rsidR="000771B2">
        <w:rPr>
          <w:sz w:val="22"/>
          <w:szCs w:val="22"/>
          <w:lang w:val="en-US"/>
        </w:rPr>
        <w:t xml:space="preserve"> to </w:t>
      </w:r>
      <w:r w:rsidR="00EA24BF">
        <w:rPr>
          <w:sz w:val="22"/>
          <w:szCs w:val="22"/>
          <w:lang w:val="en-US"/>
        </w:rPr>
        <w:t xml:space="preserve">a </w:t>
      </w:r>
      <w:r w:rsidR="000771B2">
        <w:rPr>
          <w:sz w:val="22"/>
          <w:szCs w:val="22"/>
          <w:lang w:val="en-US"/>
        </w:rPr>
        <w:t>franchisee</w:t>
      </w:r>
      <w:r w:rsidR="0072424B" w:rsidRPr="00920387">
        <w:rPr>
          <w:sz w:val="22"/>
          <w:szCs w:val="22"/>
          <w:lang w:val="en-US"/>
        </w:rPr>
        <w:t xml:space="preserve"> </w:t>
      </w:r>
      <w:r w:rsidR="000771B2">
        <w:rPr>
          <w:sz w:val="22"/>
          <w:szCs w:val="22"/>
          <w:lang w:val="en-US"/>
        </w:rPr>
        <w:t>if</w:t>
      </w:r>
      <w:r w:rsidR="00EA24BF">
        <w:rPr>
          <w:sz w:val="22"/>
          <w:szCs w:val="22"/>
          <w:lang w:val="en-US"/>
        </w:rPr>
        <w:t xml:space="preserve"> a</w:t>
      </w:r>
      <w:r w:rsidR="000771B2">
        <w:rPr>
          <w:sz w:val="22"/>
          <w:szCs w:val="22"/>
          <w:lang w:val="en-US"/>
        </w:rPr>
        <w:t xml:space="preserve"> franchisor fail</w:t>
      </w:r>
      <w:r w:rsidR="00EA24BF">
        <w:rPr>
          <w:sz w:val="22"/>
          <w:szCs w:val="22"/>
          <w:lang w:val="en-US"/>
        </w:rPr>
        <w:t>s</w:t>
      </w:r>
      <w:r w:rsidR="000771B2">
        <w:rPr>
          <w:sz w:val="22"/>
          <w:szCs w:val="22"/>
          <w:lang w:val="en-US"/>
        </w:rPr>
        <w:t xml:space="preserve"> to comply with the Act. Specifically, </w:t>
      </w:r>
      <w:r w:rsidR="0072424B" w:rsidRPr="00920387">
        <w:rPr>
          <w:sz w:val="22"/>
          <w:szCs w:val="22"/>
          <w:lang w:val="en-US"/>
        </w:rPr>
        <w:t xml:space="preserve">Section 5 of the Act requires </w:t>
      </w:r>
      <w:r w:rsidR="000771B2">
        <w:rPr>
          <w:sz w:val="22"/>
          <w:szCs w:val="22"/>
          <w:lang w:val="en-US"/>
        </w:rPr>
        <w:t xml:space="preserve">a </w:t>
      </w:r>
      <w:r w:rsidR="0072424B" w:rsidRPr="00920387">
        <w:rPr>
          <w:sz w:val="22"/>
          <w:szCs w:val="22"/>
          <w:lang w:val="en-US"/>
        </w:rPr>
        <w:t xml:space="preserve">franchisor to deliver a </w:t>
      </w:r>
      <w:r>
        <w:rPr>
          <w:sz w:val="22"/>
          <w:szCs w:val="22"/>
          <w:lang w:val="en-US"/>
        </w:rPr>
        <w:t>compliant</w:t>
      </w:r>
      <w:r w:rsidRPr="00920387">
        <w:rPr>
          <w:sz w:val="22"/>
          <w:szCs w:val="22"/>
          <w:lang w:val="en-US"/>
        </w:rPr>
        <w:t xml:space="preserve"> </w:t>
      </w:r>
      <w:r w:rsidR="0072424B" w:rsidRPr="00920387">
        <w:rPr>
          <w:sz w:val="22"/>
          <w:szCs w:val="22"/>
          <w:lang w:val="en-US"/>
        </w:rPr>
        <w:t xml:space="preserve">disclosure document to prospective franchisees at least </w:t>
      </w:r>
      <w:r w:rsidR="005B1932" w:rsidRPr="00E80180">
        <w:rPr>
          <w:sz w:val="22"/>
          <w:szCs w:val="22"/>
          <w:lang w:val="en-US"/>
        </w:rPr>
        <w:t>fourteen</w:t>
      </w:r>
      <w:r w:rsidR="0072424B" w:rsidRPr="00920387">
        <w:rPr>
          <w:sz w:val="22"/>
          <w:szCs w:val="22"/>
          <w:lang w:val="en-US"/>
        </w:rPr>
        <w:t xml:space="preserve"> days before the </w:t>
      </w:r>
      <w:r>
        <w:rPr>
          <w:sz w:val="22"/>
          <w:szCs w:val="22"/>
          <w:lang w:val="en-US"/>
        </w:rPr>
        <w:t>signing</w:t>
      </w:r>
      <w:r w:rsidRPr="00920387">
        <w:rPr>
          <w:sz w:val="22"/>
          <w:szCs w:val="22"/>
          <w:lang w:val="en-US"/>
        </w:rPr>
        <w:t xml:space="preserve"> </w:t>
      </w:r>
      <w:r w:rsidR="0072424B" w:rsidRPr="00920387">
        <w:rPr>
          <w:sz w:val="22"/>
          <w:szCs w:val="22"/>
          <w:lang w:val="en-US"/>
        </w:rPr>
        <w:t xml:space="preserve">of </w:t>
      </w:r>
      <w:r>
        <w:rPr>
          <w:sz w:val="22"/>
          <w:szCs w:val="22"/>
          <w:lang w:val="en-US"/>
        </w:rPr>
        <w:t>a</w:t>
      </w:r>
      <w:r w:rsidRPr="00920387">
        <w:rPr>
          <w:sz w:val="22"/>
          <w:szCs w:val="22"/>
          <w:lang w:val="en-US"/>
        </w:rPr>
        <w:t xml:space="preserve"> </w:t>
      </w:r>
      <w:r w:rsidR="0072424B" w:rsidRPr="00920387">
        <w:rPr>
          <w:sz w:val="22"/>
          <w:szCs w:val="22"/>
          <w:lang w:val="en-US"/>
        </w:rPr>
        <w:t>franchise agreement</w:t>
      </w:r>
      <w:r>
        <w:rPr>
          <w:sz w:val="22"/>
          <w:szCs w:val="22"/>
          <w:lang w:val="en-US"/>
        </w:rPr>
        <w:t xml:space="preserve"> or any agreement related to the franchise or the payment of any money to the franchisor</w:t>
      </w:r>
      <w:r w:rsidR="00D92365" w:rsidRPr="00E80180">
        <w:rPr>
          <w:sz w:val="22"/>
          <w:szCs w:val="22"/>
          <w:lang w:val="en-US"/>
        </w:rPr>
        <w:t xml:space="preserve">. </w:t>
      </w:r>
      <w:r w:rsidR="0072424B" w:rsidRPr="00920387">
        <w:rPr>
          <w:sz w:val="22"/>
          <w:szCs w:val="22"/>
          <w:lang w:val="en-US"/>
        </w:rPr>
        <w:t>T</w:t>
      </w:r>
      <w:r w:rsidR="000771B2">
        <w:rPr>
          <w:sz w:val="22"/>
          <w:szCs w:val="22"/>
          <w:lang w:val="en-US"/>
        </w:rPr>
        <w:t>he disclosure</w:t>
      </w:r>
      <w:r w:rsidR="0072424B" w:rsidRPr="00920387">
        <w:rPr>
          <w:sz w:val="22"/>
          <w:szCs w:val="22"/>
          <w:lang w:val="en-US"/>
        </w:rPr>
        <w:t xml:space="preserve"> document must contain </w:t>
      </w:r>
      <w:r w:rsidR="0072424B" w:rsidRPr="000771B2">
        <w:rPr>
          <w:b/>
          <w:bCs/>
          <w:sz w:val="22"/>
          <w:szCs w:val="22"/>
          <w:u w:val="single"/>
          <w:lang w:val="en-US"/>
        </w:rPr>
        <w:t>all</w:t>
      </w:r>
      <w:r w:rsidR="0072424B" w:rsidRPr="00920387">
        <w:rPr>
          <w:sz w:val="22"/>
          <w:szCs w:val="22"/>
          <w:lang w:val="en-US"/>
        </w:rPr>
        <w:t xml:space="preserve"> information prescribed by the Act and Regulation, presented in a clear, accurate, and concise manner. The Ontario courts have emphasized that this requirement is not merely formalistic: disclosur</w:t>
      </w:r>
      <w:r w:rsidR="000771B2">
        <w:rPr>
          <w:sz w:val="22"/>
          <w:szCs w:val="22"/>
          <w:lang w:val="en-US"/>
        </w:rPr>
        <w:t>e</w:t>
      </w:r>
      <w:r w:rsidR="0072424B" w:rsidRPr="00920387">
        <w:rPr>
          <w:sz w:val="22"/>
          <w:szCs w:val="22"/>
          <w:lang w:val="en-US"/>
        </w:rPr>
        <w:t xml:space="preserve"> must be provided as a single document, ensuring that prospective franchisees can review all relevant information simultaneously and in context</w:t>
      </w:r>
      <w:r w:rsidR="00BE49E7" w:rsidRPr="00E80180">
        <w:rPr>
          <w:sz w:val="22"/>
          <w:szCs w:val="22"/>
          <w:lang w:val="en-US"/>
        </w:rPr>
        <w:t>.</w:t>
      </w:r>
      <w:r w:rsidR="00BE49E7" w:rsidRPr="00E80180">
        <w:rPr>
          <w:rStyle w:val="FootnoteReference"/>
          <w:sz w:val="22"/>
          <w:szCs w:val="22"/>
          <w:lang w:val="en-US"/>
        </w:rPr>
        <w:footnoteReference w:id="7"/>
      </w:r>
    </w:p>
    <w:p w14:paraId="700254E3" w14:textId="0254E9DE" w:rsidR="00B31E83" w:rsidRPr="0017709C" w:rsidRDefault="00D144A8" w:rsidP="00212691">
      <w:pPr>
        <w:spacing w:line="276" w:lineRule="auto"/>
        <w:rPr>
          <w:sz w:val="22"/>
          <w:szCs w:val="22"/>
        </w:rPr>
      </w:pPr>
      <w:r>
        <w:rPr>
          <w:sz w:val="22"/>
          <w:szCs w:val="22"/>
          <w:lang w:val="en-US"/>
        </w:rPr>
        <w:t>Section 6(3)</w:t>
      </w:r>
      <w:r w:rsidR="00331443">
        <w:rPr>
          <w:rStyle w:val="FootnoteReference"/>
          <w:sz w:val="22"/>
          <w:szCs w:val="22"/>
          <w:lang w:val="en-US"/>
        </w:rPr>
        <w:footnoteReference w:id="8"/>
      </w:r>
      <w:r>
        <w:rPr>
          <w:sz w:val="22"/>
          <w:szCs w:val="22"/>
          <w:lang w:val="en-US"/>
        </w:rPr>
        <w:t xml:space="preserve"> of Part II of </w:t>
      </w:r>
      <w:r w:rsidR="00C87FA8" w:rsidRPr="00791696">
        <w:rPr>
          <w:sz w:val="22"/>
          <w:szCs w:val="22"/>
          <w:lang w:val="en-US"/>
        </w:rPr>
        <w:t xml:space="preserve">Ontario's </w:t>
      </w:r>
      <w:r w:rsidR="00C87FA8" w:rsidRPr="00E80180">
        <w:rPr>
          <w:sz w:val="22"/>
          <w:szCs w:val="22"/>
          <w:lang w:val="en-US"/>
        </w:rPr>
        <w:t xml:space="preserve">Regulation </w:t>
      </w:r>
      <w:r w:rsidR="00C87FA8" w:rsidRPr="00791696">
        <w:rPr>
          <w:sz w:val="22"/>
          <w:szCs w:val="22"/>
          <w:lang w:val="en-US"/>
        </w:rPr>
        <w:t xml:space="preserve">outlines the disclosure requirements </w:t>
      </w:r>
      <w:r w:rsidR="00C87FA8">
        <w:rPr>
          <w:sz w:val="22"/>
          <w:szCs w:val="22"/>
          <w:lang w:val="en-US"/>
        </w:rPr>
        <w:t xml:space="preserve">if </w:t>
      </w:r>
      <w:r w:rsidR="004135E8">
        <w:rPr>
          <w:sz w:val="22"/>
          <w:szCs w:val="22"/>
          <w:lang w:val="en-US"/>
        </w:rPr>
        <w:t xml:space="preserve">an </w:t>
      </w:r>
      <w:r w:rsidR="000B2BB4">
        <w:rPr>
          <w:sz w:val="22"/>
          <w:szCs w:val="22"/>
          <w:lang w:val="en-US"/>
        </w:rPr>
        <w:t>Earnings Projection</w:t>
      </w:r>
      <w:r w:rsidR="004135E8">
        <w:rPr>
          <w:sz w:val="22"/>
          <w:szCs w:val="22"/>
          <w:lang w:val="en-US"/>
        </w:rPr>
        <w:t xml:space="preserve"> is</w:t>
      </w:r>
      <w:r w:rsidR="00C87FA8" w:rsidRPr="00791696">
        <w:rPr>
          <w:sz w:val="22"/>
          <w:szCs w:val="22"/>
          <w:lang w:val="en-US"/>
        </w:rPr>
        <w:t xml:space="preserve"> provided</w:t>
      </w:r>
      <w:r w:rsidR="0017709C">
        <w:rPr>
          <w:sz w:val="22"/>
          <w:szCs w:val="22"/>
          <w:lang w:val="en-US"/>
        </w:rPr>
        <w:t>.</w:t>
      </w:r>
      <w:r w:rsidR="00C2052A">
        <w:rPr>
          <w:sz w:val="22"/>
          <w:szCs w:val="22"/>
          <w:lang w:val="en-US"/>
        </w:rPr>
        <w:t xml:space="preserve"> </w:t>
      </w:r>
      <w:r w:rsidR="00CC42DF">
        <w:rPr>
          <w:sz w:val="22"/>
          <w:szCs w:val="22"/>
        </w:rPr>
        <w:t xml:space="preserve"> </w:t>
      </w:r>
      <w:r w:rsidR="00F563DE" w:rsidRPr="00920387">
        <w:rPr>
          <w:sz w:val="22"/>
          <w:szCs w:val="22"/>
          <w:lang w:val="en-US"/>
        </w:rPr>
        <w:t>Section 6</w:t>
      </w:r>
      <w:r w:rsidR="00F563DE" w:rsidRPr="00E80180">
        <w:rPr>
          <w:sz w:val="22"/>
          <w:szCs w:val="22"/>
          <w:lang w:val="en-US"/>
        </w:rPr>
        <w:t>(3)</w:t>
      </w:r>
      <w:r w:rsidR="00F563DE" w:rsidRPr="00920387">
        <w:rPr>
          <w:sz w:val="22"/>
          <w:szCs w:val="22"/>
          <w:lang w:val="en-US"/>
        </w:rPr>
        <w:t xml:space="preserve"> stipulates that </w:t>
      </w:r>
      <w:r w:rsidR="006C7C78">
        <w:rPr>
          <w:sz w:val="22"/>
          <w:szCs w:val="22"/>
          <w:lang w:val="en-US"/>
        </w:rPr>
        <w:t>the</w:t>
      </w:r>
      <w:r w:rsidR="00F563DE" w:rsidRPr="00920387">
        <w:rPr>
          <w:sz w:val="22"/>
          <w:szCs w:val="22"/>
          <w:lang w:val="en-US"/>
        </w:rPr>
        <w:t xml:space="preserve"> </w:t>
      </w:r>
      <w:r w:rsidR="000B2BB4">
        <w:rPr>
          <w:sz w:val="22"/>
          <w:szCs w:val="22"/>
          <w:lang w:val="en-US"/>
        </w:rPr>
        <w:t>Earnings Projection</w:t>
      </w:r>
      <w:r w:rsidR="00F563DE" w:rsidRPr="00920387">
        <w:rPr>
          <w:sz w:val="22"/>
          <w:szCs w:val="22"/>
          <w:lang w:val="en-US"/>
        </w:rPr>
        <w:t xml:space="preserve"> must be accompanied by</w:t>
      </w:r>
      <w:r w:rsidR="00B31E83">
        <w:rPr>
          <w:sz w:val="22"/>
          <w:szCs w:val="22"/>
          <w:lang w:val="en-US"/>
        </w:rPr>
        <w:t>:</w:t>
      </w:r>
    </w:p>
    <w:p w14:paraId="4C3E660F" w14:textId="2627310E" w:rsidR="00B31E83" w:rsidRDefault="00F563DE" w:rsidP="00212691">
      <w:pPr>
        <w:pStyle w:val="ListParagraph"/>
        <w:numPr>
          <w:ilvl w:val="0"/>
          <w:numId w:val="21"/>
        </w:numPr>
        <w:spacing w:line="276" w:lineRule="auto"/>
        <w:ind w:hanging="720"/>
        <w:rPr>
          <w:sz w:val="22"/>
          <w:szCs w:val="22"/>
          <w:lang w:val="en-US"/>
        </w:rPr>
      </w:pPr>
      <w:r w:rsidRPr="00B31E83">
        <w:rPr>
          <w:sz w:val="22"/>
          <w:szCs w:val="22"/>
          <w:lang w:val="en-US"/>
        </w:rPr>
        <w:t xml:space="preserve"> a statement specifying the reasonable basis for the</w:t>
      </w:r>
      <w:r w:rsidR="009F52B1">
        <w:rPr>
          <w:sz w:val="22"/>
          <w:szCs w:val="22"/>
          <w:lang w:val="en-US"/>
        </w:rPr>
        <w:t xml:space="preserve"> [earnings, sic]</w:t>
      </w:r>
      <w:r w:rsidRPr="00B31E83">
        <w:rPr>
          <w:sz w:val="22"/>
          <w:szCs w:val="22"/>
          <w:lang w:val="en-US"/>
        </w:rPr>
        <w:t xml:space="preserve"> </w:t>
      </w:r>
      <w:proofErr w:type="gramStart"/>
      <w:r w:rsidRPr="00B31E83">
        <w:rPr>
          <w:sz w:val="22"/>
          <w:szCs w:val="22"/>
          <w:lang w:val="en-US"/>
        </w:rPr>
        <w:t>projection</w:t>
      </w:r>
      <w:r w:rsidR="00B31E83">
        <w:rPr>
          <w:sz w:val="22"/>
          <w:szCs w:val="22"/>
          <w:lang w:val="en-US"/>
        </w:rPr>
        <w:t>;</w:t>
      </w:r>
      <w:proofErr w:type="gramEnd"/>
      <w:r w:rsidRPr="00B31E83">
        <w:rPr>
          <w:sz w:val="22"/>
          <w:szCs w:val="22"/>
          <w:lang w:val="en-US"/>
        </w:rPr>
        <w:t xml:space="preserve"> </w:t>
      </w:r>
    </w:p>
    <w:p w14:paraId="33686CA5" w14:textId="77777777" w:rsidR="00B31E83" w:rsidRDefault="00B31E83" w:rsidP="00212691">
      <w:pPr>
        <w:pStyle w:val="ListParagraph"/>
        <w:spacing w:line="276" w:lineRule="auto"/>
        <w:rPr>
          <w:sz w:val="22"/>
          <w:szCs w:val="22"/>
          <w:lang w:val="en-US"/>
        </w:rPr>
      </w:pPr>
    </w:p>
    <w:p w14:paraId="4CA09D41" w14:textId="77777777" w:rsidR="009F52B1" w:rsidRDefault="00F563DE" w:rsidP="00212691">
      <w:pPr>
        <w:pStyle w:val="ListParagraph"/>
        <w:numPr>
          <w:ilvl w:val="0"/>
          <w:numId w:val="21"/>
        </w:numPr>
        <w:spacing w:line="276" w:lineRule="auto"/>
        <w:ind w:hanging="720"/>
        <w:rPr>
          <w:sz w:val="22"/>
          <w:szCs w:val="22"/>
          <w:lang w:val="en-US"/>
        </w:rPr>
      </w:pPr>
      <w:r w:rsidRPr="00B31E83">
        <w:rPr>
          <w:sz w:val="22"/>
          <w:szCs w:val="22"/>
          <w:lang w:val="en-US"/>
        </w:rPr>
        <w:t xml:space="preserve">the assumptions underlying </w:t>
      </w:r>
      <w:r w:rsidR="009F52B1">
        <w:rPr>
          <w:sz w:val="22"/>
          <w:szCs w:val="22"/>
          <w:lang w:val="en-US"/>
        </w:rPr>
        <w:t>it [earnings, sic];</w:t>
      </w:r>
      <w:r w:rsidRPr="00B31E83">
        <w:rPr>
          <w:sz w:val="22"/>
          <w:szCs w:val="22"/>
          <w:lang w:val="en-US"/>
        </w:rPr>
        <w:t xml:space="preserve"> and </w:t>
      </w:r>
    </w:p>
    <w:p w14:paraId="48BDA672" w14:textId="77777777" w:rsidR="009F52B1" w:rsidRPr="009F52B1" w:rsidRDefault="009F52B1" w:rsidP="006A2E2E">
      <w:pPr>
        <w:pStyle w:val="ListParagraph"/>
        <w:spacing w:line="276" w:lineRule="auto"/>
        <w:rPr>
          <w:sz w:val="22"/>
          <w:szCs w:val="22"/>
          <w:lang w:val="en-US"/>
        </w:rPr>
      </w:pPr>
    </w:p>
    <w:p w14:paraId="4067FD3B" w14:textId="093D1FF7" w:rsidR="008C5F5A" w:rsidRDefault="00F563DE" w:rsidP="00212691">
      <w:pPr>
        <w:pStyle w:val="ListParagraph"/>
        <w:numPr>
          <w:ilvl w:val="0"/>
          <w:numId w:val="21"/>
        </w:numPr>
        <w:spacing w:line="276" w:lineRule="auto"/>
        <w:ind w:hanging="720"/>
        <w:rPr>
          <w:sz w:val="22"/>
          <w:szCs w:val="22"/>
          <w:lang w:val="en-US"/>
        </w:rPr>
      </w:pPr>
      <w:r w:rsidRPr="00B31E83">
        <w:rPr>
          <w:sz w:val="22"/>
          <w:szCs w:val="22"/>
          <w:lang w:val="en-US"/>
        </w:rPr>
        <w:t>a location where substantiating information is available for inspection</w:t>
      </w:r>
      <w:r w:rsidR="008C5F5A">
        <w:rPr>
          <w:sz w:val="22"/>
          <w:szCs w:val="22"/>
          <w:lang w:val="en-US"/>
        </w:rPr>
        <w:t xml:space="preserve"> [of the </w:t>
      </w:r>
      <w:r w:rsidR="000B2BB4">
        <w:rPr>
          <w:sz w:val="22"/>
          <w:szCs w:val="22"/>
          <w:lang w:val="en-US"/>
        </w:rPr>
        <w:t>Earnings Projection</w:t>
      </w:r>
      <w:r w:rsidR="008C5F5A">
        <w:rPr>
          <w:sz w:val="22"/>
          <w:szCs w:val="22"/>
          <w:lang w:val="en-US"/>
        </w:rPr>
        <w:t>, sic]</w:t>
      </w:r>
      <w:r w:rsidRPr="00B31E83">
        <w:rPr>
          <w:sz w:val="22"/>
          <w:szCs w:val="22"/>
          <w:lang w:val="en-US"/>
        </w:rPr>
        <w:t xml:space="preserve">. </w:t>
      </w:r>
    </w:p>
    <w:p w14:paraId="36EEA23F" w14:textId="5D292C34" w:rsidR="00F563DE" w:rsidRPr="008C5F5A" w:rsidRDefault="00F563DE" w:rsidP="00212691">
      <w:pPr>
        <w:spacing w:line="276" w:lineRule="auto"/>
        <w:rPr>
          <w:sz w:val="22"/>
          <w:szCs w:val="22"/>
          <w:lang w:val="en-US"/>
        </w:rPr>
      </w:pPr>
      <w:r w:rsidRPr="008C5F5A">
        <w:rPr>
          <w:sz w:val="22"/>
          <w:szCs w:val="22"/>
          <w:lang w:val="en-US"/>
        </w:rPr>
        <w:t xml:space="preserve">These requirements are designed to ensure that any </w:t>
      </w:r>
      <w:r w:rsidR="000B2BB4">
        <w:rPr>
          <w:sz w:val="22"/>
          <w:szCs w:val="22"/>
          <w:lang w:val="en-US"/>
        </w:rPr>
        <w:t>Earnings Projection</w:t>
      </w:r>
      <w:r w:rsidRPr="008C5F5A">
        <w:rPr>
          <w:sz w:val="22"/>
          <w:szCs w:val="22"/>
          <w:lang w:val="en-US"/>
        </w:rPr>
        <w:t xml:space="preserve">s provided by a franchisor are </w:t>
      </w:r>
      <w:r w:rsidR="000F7EA6">
        <w:rPr>
          <w:sz w:val="22"/>
          <w:szCs w:val="22"/>
          <w:lang w:val="en-US"/>
        </w:rPr>
        <w:t xml:space="preserve">based on reasonable assumptions, </w:t>
      </w:r>
      <w:r w:rsidRPr="008C5F5A">
        <w:rPr>
          <w:sz w:val="22"/>
          <w:szCs w:val="22"/>
          <w:lang w:val="en-US"/>
        </w:rPr>
        <w:t>transparent, verifiable, and not misleading. The failure to comply with these requirements can have severe consequences for franchisors, including a franchisee's right to rescind the franchise agreement under Section 6(2) of the Act.</w:t>
      </w:r>
      <w:r w:rsidRPr="00E80180">
        <w:rPr>
          <w:rStyle w:val="FootnoteReference"/>
          <w:sz w:val="22"/>
          <w:szCs w:val="22"/>
          <w:lang w:val="en-US"/>
        </w:rPr>
        <w:footnoteReference w:id="9"/>
      </w:r>
      <w:r w:rsidRPr="008C5F5A">
        <w:rPr>
          <w:sz w:val="22"/>
          <w:szCs w:val="22"/>
          <w:lang w:val="en-US"/>
        </w:rPr>
        <w:t xml:space="preserve"> </w:t>
      </w:r>
    </w:p>
    <w:p w14:paraId="2DBEC909" w14:textId="4F2B0688" w:rsidR="0092667F" w:rsidRDefault="006C5342" w:rsidP="00212691">
      <w:pPr>
        <w:spacing w:line="276" w:lineRule="auto"/>
        <w:rPr>
          <w:sz w:val="22"/>
          <w:szCs w:val="22"/>
          <w:lang w:val="en-US"/>
        </w:rPr>
      </w:pPr>
      <w:r>
        <w:rPr>
          <w:sz w:val="22"/>
          <w:szCs w:val="22"/>
          <w:lang w:val="en-US"/>
        </w:rPr>
        <w:t xml:space="preserve">While </w:t>
      </w:r>
      <w:r w:rsidRPr="00791696">
        <w:rPr>
          <w:sz w:val="22"/>
          <w:szCs w:val="22"/>
          <w:lang w:val="en-US"/>
        </w:rPr>
        <w:t xml:space="preserve">Ontario's </w:t>
      </w:r>
      <w:r w:rsidRPr="00E80180">
        <w:rPr>
          <w:sz w:val="22"/>
          <w:szCs w:val="22"/>
          <w:lang w:val="en-US"/>
        </w:rPr>
        <w:t xml:space="preserve">Regulation </w:t>
      </w:r>
      <w:r w:rsidRPr="00791696">
        <w:rPr>
          <w:sz w:val="22"/>
          <w:szCs w:val="22"/>
          <w:lang w:val="en-US"/>
        </w:rPr>
        <w:t xml:space="preserve">outlines the disclosure requirements for </w:t>
      </w:r>
      <w:r w:rsidR="002871F4">
        <w:rPr>
          <w:sz w:val="22"/>
          <w:szCs w:val="22"/>
          <w:lang w:val="en-US"/>
        </w:rPr>
        <w:t xml:space="preserve">an </w:t>
      </w:r>
      <w:r w:rsidR="000B2BB4">
        <w:rPr>
          <w:sz w:val="22"/>
          <w:szCs w:val="22"/>
          <w:lang w:val="en-US"/>
        </w:rPr>
        <w:t>Earnings Projection</w:t>
      </w:r>
      <w:r w:rsidRPr="00791696">
        <w:rPr>
          <w:sz w:val="22"/>
          <w:szCs w:val="22"/>
          <w:lang w:val="en-US"/>
        </w:rPr>
        <w:t xml:space="preserve"> if </w:t>
      </w:r>
      <w:r w:rsidR="002871F4">
        <w:rPr>
          <w:sz w:val="22"/>
          <w:szCs w:val="22"/>
          <w:lang w:val="en-US"/>
        </w:rPr>
        <w:t>one is</w:t>
      </w:r>
      <w:r w:rsidRPr="00791696">
        <w:rPr>
          <w:sz w:val="22"/>
          <w:szCs w:val="22"/>
          <w:lang w:val="en-US"/>
        </w:rPr>
        <w:t xml:space="preserve"> provided, it does</w:t>
      </w:r>
      <w:r w:rsidR="00212691">
        <w:rPr>
          <w:sz w:val="22"/>
          <w:szCs w:val="22"/>
          <w:lang w:val="en-US"/>
        </w:rPr>
        <w:t xml:space="preserve"> not</w:t>
      </w:r>
      <w:r w:rsidRPr="00791696">
        <w:rPr>
          <w:sz w:val="22"/>
          <w:szCs w:val="22"/>
          <w:lang w:val="en-US"/>
        </w:rPr>
        <w:t xml:space="preserve"> defin</w:t>
      </w:r>
      <w:r w:rsidR="002871F4">
        <w:rPr>
          <w:sz w:val="22"/>
          <w:szCs w:val="22"/>
          <w:lang w:val="en-US"/>
        </w:rPr>
        <w:t>e</w:t>
      </w:r>
      <w:r w:rsidRPr="00791696">
        <w:rPr>
          <w:sz w:val="22"/>
          <w:szCs w:val="22"/>
          <w:lang w:val="en-US"/>
        </w:rPr>
        <w:t xml:space="preserve"> what constitutes an </w:t>
      </w:r>
      <w:r>
        <w:rPr>
          <w:sz w:val="22"/>
          <w:szCs w:val="22"/>
          <w:lang w:val="en-US"/>
        </w:rPr>
        <w:t>“</w:t>
      </w:r>
      <w:r w:rsidR="000B2BB4">
        <w:rPr>
          <w:sz w:val="22"/>
          <w:szCs w:val="22"/>
          <w:lang w:val="en-US"/>
        </w:rPr>
        <w:t>Earnings Projection</w:t>
      </w:r>
      <w:r w:rsidRPr="00791696">
        <w:rPr>
          <w:sz w:val="22"/>
          <w:szCs w:val="22"/>
          <w:lang w:val="en-US"/>
        </w:rPr>
        <w:t>.</w:t>
      </w:r>
      <w:r>
        <w:rPr>
          <w:sz w:val="22"/>
          <w:szCs w:val="22"/>
          <w:lang w:val="en-US"/>
        </w:rPr>
        <w:t>”</w:t>
      </w:r>
      <w:r w:rsidRPr="00791696">
        <w:rPr>
          <w:sz w:val="22"/>
          <w:szCs w:val="22"/>
          <w:lang w:val="en-US"/>
        </w:rPr>
        <w:t xml:space="preserve"> This contrasts sharply with the regulatory frameworks in other Canadian provinces with franchise legislation,</w:t>
      </w:r>
      <w:r>
        <w:rPr>
          <w:sz w:val="22"/>
          <w:szCs w:val="22"/>
          <w:lang w:val="en-US"/>
        </w:rPr>
        <w:t xml:space="preserve"> such as</w:t>
      </w:r>
      <w:r w:rsidRPr="00791696">
        <w:rPr>
          <w:sz w:val="22"/>
          <w:szCs w:val="22"/>
          <w:lang w:val="en-US"/>
        </w:rPr>
        <w:t xml:space="preserve"> Manitoba's </w:t>
      </w:r>
      <w:r w:rsidRPr="00791696">
        <w:rPr>
          <w:sz w:val="22"/>
          <w:szCs w:val="22"/>
          <w:lang w:val="en-US"/>
        </w:rPr>
        <w:lastRenderedPageBreak/>
        <w:t>Franchises Regulation</w:t>
      </w:r>
      <w:r w:rsidRPr="00E80180">
        <w:rPr>
          <w:sz w:val="22"/>
          <w:szCs w:val="22"/>
          <w:lang w:val="en-US"/>
        </w:rPr>
        <w:t>,</w:t>
      </w:r>
      <w:r w:rsidRPr="00E80180">
        <w:rPr>
          <w:rStyle w:val="FootnoteReference"/>
          <w:sz w:val="22"/>
          <w:szCs w:val="22"/>
          <w:lang w:val="en-US"/>
        </w:rPr>
        <w:footnoteReference w:id="10"/>
      </w:r>
      <w:r w:rsidRPr="00E80180">
        <w:rPr>
          <w:sz w:val="22"/>
          <w:szCs w:val="22"/>
          <w:lang w:val="en-US"/>
        </w:rPr>
        <w:t xml:space="preserve"> </w:t>
      </w:r>
      <w:r w:rsidRPr="00791696">
        <w:rPr>
          <w:sz w:val="22"/>
          <w:szCs w:val="22"/>
          <w:lang w:val="en-US"/>
        </w:rPr>
        <w:t>New Brunswick's Disclosure Document Regulation</w:t>
      </w:r>
      <w:r w:rsidRPr="00E80180">
        <w:rPr>
          <w:sz w:val="22"/>
          <w:szCs w:val="22"/>
          <w:lang w:val="en-US"/>
        </w:rPr>
        <w:t>,</w:t>
      </w:r>
      <w:r w:rsidRPr="00E80180">
        <w:rPr>
          <w:rStyle w:val="FootnoteReference"/>
          <w:sz w:val="22"/>
          <w:szCs w:val="22"/>
          <w:lang w:val="en-US"/>
        </w:rPr>
        <w:footnoteReference w:id="11"/>
      </w:r>
      <w:r w:rsidRPr="00E80180">
        <w:rPr>
          <w:sz w:val="22"/>
          <w:szCs w:val="22"/>
          <w:lang w:val="en-US"/>
        </w:rPr>
        <w:t xml:space="preserve"> </w:t>
      </w:r>
      <w:r w:rsidRPr="00791696">
        <w:rPr>
          <w:sz w:val="22"/>
          <w:szCs w:val="22"/>
          <w:lang w:val="en-US"/>
        </w:rPr>
        <w:t>Prince Edward Island's Franchises Act Regulations</w:t>
      </w:r>
      <w:r w:rsidRPr="00E80180">
        <w:rPr>
          <w:sz w:val="22"/>
          <w:szCs w:val="22"/>
          <w:lang w:val="en-US"/>
        </w:rPr>
        <w:t>,</w:t>
      </w:r>
      <w:r w:rsidRPr="00E80180">
        <w:rPr>
          <w:rStyle w:val="FootnoteReference"/>
          <w:sz w:val="22"/>
          <w:szCs w:val="22"/>
          <w:lang w:val="en-US"/>
        </w:rPr>
        <w:footnoteReference w:id="12"/>
      </w:r>
      <w:r w:rsidRPr="00E80180">
        <w:rPr>
          <w:sz w:val="22"/>
          <w:szCs w:val="22"/>
          <w:lang w:val="en-US"/>
        </w:rPr>
        <w:t xml:space="preserve"> </w:t>
      </w:r>
      <w:r w:rsidRPr="00791696">
        <w:rPr>
          <w:sz w:val="22"/>
          <w:szCs w:val="22"/>
          <w:lang w:val="en-US"/>
        </w:rPr>
        <w:t>and British Columbia's Franchises Regulation</w:t>
      </w:r>
      <w:r w:rsidRPr="00E80180">
        <w:rPr>
          <w:sz w:val="22"/>
          <w:szCs w:val="22"/>
          <w:lang w:val="en-US"/>
        </w:rPr>
        <w:t>.</w:t>
      </w:r>
      <w:r w:rsidRPr="00E80180">
        <w:rPr>
          <w:rStyle w:val="FootnoteReference"/>
          <w:sz w:val="22"/>
          <w:szCs w:val="22"/>
          <w:lang w:val="en-US"/>
        </w:rPr>
        <w:footnoteReference w:id="13"/>
      </w:r>
      <w:r w:rsidRPr="00E80180">
        <w:rPr>
          <w:sz w:val="22"/>
          <w:szCs w:val="22"/>
          <w:lang w:val="en-US"/>
        </w:rPr>
        <w:t xml:space="preserve"> </w:t>
      </w:r>
      <w:r w:rsidRPr="00791696">
        <w:rPr>
          <w:sz w:val="22"/>
          <w:szCs w:val="22"/>
          <w:lang w:val="en-US"/>
        </w:rPr>
        <w:t xml:space="preserve">The definition </w:t>
      </w:r>
      <w:r>
        <w:rPr>
          <w:sz w:val="22"/>
          <w:szCs w:val="22"/>
          <w:lang w:val="en-US"/>
        </w:rPr>
        <w:t>is</w:t>
      </w:r>
      <w:r w:rsidRPr="00791696">
        <w:rPr>
          <w:sz w:val="22"/>
          <w:szCs w:val="22"/>
          <w:lang w:val="en-US"/>
        </w:rPr>
        <w:t xml:space="preserve"> consistent </w:t>
      </w:r>
      <w:r w:rsidR="0092667F">
        <w:rPr>
          <w:sz w:val="22"/>
          <w:szCs w:val="22"/>
          <w:lang w:val="en-US"/>
        </w:rPr>
        <w:t>across</w:t>
      </w:r>
      <w:r>
        <w:rPr>
          <w:sz w:val="22"/>
          <w:szCs w:val="22"/>
          <w:lang w:val="en-US"/>
        </w:rPr>
        <w:t xml:space="preserve"> these other provincial statutes</w:t>
      </w:r>
      <w:r w:rsidRPr="00791696">
        <w:rPr>
          <w:sz w:val="22"/>
          <w:szCs w:val="22"/>
          <w:lang w:val="en-US"/>
        </w:rPr>
        <w:t xml:space="preserve">, </w:t>
      </w:r>
      <w:r>
        <w:rPr>
          <w:sz w:val="22"/>
          <w:szCs w:val="22"/>
          <w:lang w:val="en-US"/>
        </w:rPr>
        <w:t>providing</w:t>
      </w:r>
      <w:r w:rsidRPr="00791696">
        <w:rPr>
          <w:sz w:val="22"/>
          <w:szCs w:val="22"/>
          <w:lang w:val="en-US"/>
        </w:rPr>
        <w:t xml:space="preserve"> that an </w:t>
      </w:r>
      <w:r>
        <w:rPr>
          <w:sz w:val="22"/>
          <w:szCs w:val="22"/>
          <w:lang w:val="en-US"/>
        </w:rPr>
        <w:t>“</w:t>
      </w:r>
      <w:r w:rsidR="000B2BB4">
        <w:rPr>
          <w:sz w:val="22"/>
          <w:szCs w:val="22"/>
          <w:lang w:val="en-US"/>
        </w:rPr>
        <w:t>Earnings Projection</w:t>
      </w:r>
      <w:r>
        <w:rPr>
          <w:sz w:val="22"/>
          <w:szCs w:val="22"/>
          <w:lang w:val="en-US"/>
        </w:rPr>
        <w:t>”</w:t>
      </w:r>
      <w:r w:rsidRPr="00791696">
        <w:rPr>
          <w:sz w:val="22"/>
          <w:szCs w:val="22"/>
          <w:lang w:val="en-US"/>
        </w:rPr>
        <w:t xml:space="preserve"> encompasses</w:t>
      </w:r>
      <w:r w:rsidR="0092667F">
        <w:rPr>
          <w:sz w:val="22"/>
          <w:szCs w:val="22"/>
          <w:lang w:val="en-US"/>
        </w:rPr>
        <w:t>:</w:t>
      </w:r>
    </w:p>
    <w:p w14:paraId="3FC54361" w14:textId="73876F1E" w:rsidR="006C5342" w:rsidRDefault="006C5342" w:rsidP="00212691">
      <w:pPr>
        <w:spacing w:line="276" w:lineRule="auto"/>
        <w:ind w:left="720"/>
        <w:rPr>
          <w:sz w:val="22"/>
          <w:szCs w:val="22"/>
          <w:lang w:val="en-US"/>
        </w:rPr>
      </w:pPr>
      <w:r>
        <w:rPr>
          <w:sz w:val="22"/>
          <w:szCs w:val="22"/>
          <w:lang w:val="en-US"/>
        </w:rPr>
        <w:t>“</w:t>
      </w:r>
      <w:proofErr w:type="gramStart"/>
      <w:r w:rsidRPr="00791696">
        <w:rPr>
          <w:sz w:val="22"/>
          <w:szCs w:val="22"/>
          <w:lang w:val="en-US"/>
        </w:rPr>
        <w:t>any</w:t>
      </w:r>
      <w:proofErr w:type="gramEnd"/>
      <w:r w:rsidRPr="00791696">
        <w:rPr>
          <w:sz w:val="22"/>
          <w:szCs w:val="22"/>
          <w:lang w:val="en-US"/>
        </w:rPr>
        <w:t xml:space="preserve"> information given by or on behalf of the franchisor or the franchisor's associate, directly or indirectly, from which a specific level or range of actual or potential sales, costs, income, revenue or profits from franchises or businesses of the franchisor or the franchisor's associates of the same type as the franchise being offered can easily be ascertained.</w:t>
      </w:r>
      <w:r>
        <w:rPr>
          <w:sz w:val="22"/>
          <w:szCs w:val="22"/>
          <w:lang w:val="en-US"/>
        </w:rPr>
        <w:t>”</w:t>
      </w:r>
      <w:r w:rsidRPr="00791696">
        <w:rPr>
          <w:sz w:val="22"/>
          <w:szCs w:val="22"/>
          <w:lang w:val="en-US"/>
        </w:rPr>
        <w:t xml:space="preserve"> </w:t>
      </w:r>
    </w:p>
    <w:p w14:paraId="7309948A" w14:textId="56AA2E98" w:rsidR="001E6B04" w:rsidRPr="00920387" w:rsidRDefault="001E6B04" w:rsidP="00212691">
      <w:pPr>
        <w:spacing w:line="276" w:lineRule="auto"/>
        <w:rPr>
          <w:sz w:val="22"/>
          <w:szCs w:val="22"/>
          <w:lang w:val="en-US"/>
        </w:rPr>
      </w:pPr>
      <w:r w:rsidRPr="00791696">
        <w:rPr>
          <w:sz w:val="22"/>
          <w:szCs w:val="22"/>
          <w:lang w:val="en-US"/>
        </w:rPr>
        <w:t xml:space="preserve">This broad and inclusive definition aims to capture </w:t>
      </w:r>
      <w:r w:rsidRPr="000771B2">
        <w:rPr>
          <w:i/>
          <w:iCs/>
          <w:sz w:val="22"/>
          <w:szCs w:val="22"/>
          <w:lang w:val="en-US"/>
        </w:rPr>
        <w:t>any</w:t>
      </w:r>
      <w:r w:rsidRPr="00791696">
        <w:rPr>
          <w:sz w:val="22"/>
          <w:szCs w:val="22"/>
          <w:lang w:val="en-US"/>
        </w:rPr>
        <w:t xml:space="preserve"> communication </w:t>
      </w:r>
      <w:r>
        <w:rPr>
          <w:sz w:val="22"/>
          <w:szCs w:val="22"/>
          <w:lang w:val="en-US"/>
        </w:rPr>
        <w:t xml:space="preserve">from a franchisor or a franchisor’s associate </w:t>
      </w:r>
      <w:r w:rsidRPr="00791696">
        <w:rPr>
          <w:sz w:val="22"/>
          <w:szCs w:val="22"/>
          <w:lang w:val="en-US"/>
        </w:rPr>
        <w:t xml:space="preserve">that could lead a prospective franchisee to infer potential financial performance, regardless of its format. </w:t>
      </w:r>
      <w:r w:rsidRPr="008E32F0">
        <w:rPr>
          <w:sz w:val="22"/>
          <w:szCs w:val="22"/>
          <w:lang w:val="en-US"/>
        </w:rPr>
        <w:t>The absence of such a definition in Ontario's Regulation leaves the interpretation of what constitutes an “</w:t>
      </w:r>
      <w:r w:rsidR="000B2BB4">
        <w:rPr>
          <w:sz w:val="22"/>
          <w:szCs w:val="22"/>
          <w:lang w:val="en-US"/>
        </w:rPr>
        <w:t>Earnings Projection</w:t>
      </w:r>
      <w:r w:rsidRPr="008E32F0">
        <w:rPr>
          <w:sz w:val="22"/>
          <w:szCs w:val="22"/>
          <w:lang w:val="en-US"/>
        </w:rPr>
        <w:t xml:space="preserve">” to judicial discretion, potentially introducing a degree of uncertainty for franchisors regarding the scope of their disclosure obligations. </w:t>
      </w:r>
      <w:r w:rsidRPr="00791696">
        <w:rPr>
          <w:sz w:val="22"/>
          <w:szCs w:val="22"/>
          <w:lang w:val="en-US"/>
        </w:rPr>
        <w:t xml:space="preserve">The </w:t>
      </w:r>
      <w:r>
        <w:rPr>
          <w:sz w:val="22"/>
          <w:szCs w:val="22"/>
          <w:lang w:val="en-US"/>
        </w:rPr>
        <w:t xml:space="preserve">clear </w:t>
      </w:r>
      <w:r w:rsidRPr="00791696">
        <w:rPr>
          <w:sz w:val="22"/>
          <w:szCs w:val="22"/>
          <w:lang w:val="en-US"/>
        </w:rPr>
        <w:t xml:space="preserve">definition in other provinces </w:t>
      </w:r>
      <w:r>
        <w:rPr>
          <w:sz w:val="22"/>
          <w:szCs w:val="22"/>
          <w:lang w:val="en-US"/>
        </w:rPr>
        <w:t>could provide</w:t>
      </w:r>
      <w:r w:rsidRPr="00791696">
        <w:rPr>
          <w:sz w:val="22"/>
          <w:szCs w:val="22"/>
          <w:lang w:val="en-US"/>
        </w:rPr>
        <w:t xml:space="preserve"> guidance</w:t>
      </w:r>
      <w:r>
        <w:rPr>
          <w:sz w:val="22"/>
          <w:szCs w:val="22"/>
          <w:lang w:val="en-US"/>
        </w:rPr>
        <w:t xml:space="preserve"> for Ontario courts as to what constitutes an </w:t>
      </w:r>
      <w:r w:rsidR="000B2BB4">
        <w:rPr>
          <w:sz w:val="22"/>
          <w:szCs w:val="22"/>
          <w:lang w:val="en-US"/>
        </w:rPr>
        <w:t>Earnings Projection</w:t>
      </w:r>
      <w:r>
        <w:rPr>
          <w:sz w:val="22"/>
          <w:szCs w:val="22"/>
          <w:lang w:val="en-US"/>
        </w:rPr>
        <w:t xml:space="preserve"> under the Regulation, but this remains to be properly adjudicated. </w:t>
      </w:r>
    </w:p>
    <w:p w14:paraId="519472C9" w14:textId="2B3E8F8A" w:rsidR="001E6B04" w:rsidRPr="00920387" w:rsidRDefault="001E6B04" w:rsidP="00212691">
      <w:pPr>
        <w:spacing w:line="276" w:lineRule="auto"/>
        <w:rPr>
          <w:sz w:val="22"/>
          <w:szCs w:val="22"/>
          <w:lang w:val="en-US"/>
        </w:rPr>
      </w:pPr>
      <w:r>
        <w:rPr>
          <w:sz w:val="22"/>
          <w:szCs w:val="22"/>
          <w:lang w:val="en-US"/>
        </w:rPr>
        <w:t>Recent ju</w:t>
      </w:r>
      <w:r w:rsidRPr="00920387">
        <w:rPr>
          <w:sz w:val="22"/>
          <w:szCs w:val="22"/>
          <w:lang w:val="en-US"/>
        </w:rPr>
        <w:t xml:space="preserve">dicial </w:t>
      </w:r>
      <w:r>
        <w:rPr>
          <w:sz w:val="22"/>
          <w:szCs w:val="22"/>
          <w:lang w:val="en-US"/>
        </w:rPr>
        <w:t>commentary has provided some clarity as to these statutory requirements.</w:t>
      </w:r>
      <w:r w:rsidR="00C2052A">
        <w:rPr>
          <w:sz w:val="22"/>
          <w:szCs w:val="22"/>
          <w:lang w:val="en-US"/>
        </w:rPr>
        <w:t xml:space="preserve"> </w:t>
      </w:r>
      <w:r w:rsidRPr="00920387">
        <w:rPr>
          <w:sz w:val="22"/>
          <w:szCs w:val="22"/>
          <w:lang w:val="en-US"/>
        </w:rPr>
        <w:t>In </w:t>
      </w:r>
      <w:r w:rsidRPr="00920387">
        <w:rPr>
          <w:i/>
          <w:iCs/>
          <w:sz w:val="22"/>
          <w:szCs w:val="22"/>
          <w:lang w:val="en-US"/>
        </w:rPr>
        <w:t>Apblouin Imports Ltd. v. Global Diaper Services Inc</w:t>
      </w:r>
      <w:r>
        <w:rPr>
          <w:i/>
          <w:iCs/>
          <w:sz w:val="22"/>
          <w:szCs w:val="22"/>
          <w:lang w:val="en-US"/>
        </w:rPr>
        <w:t>.</w:t>
      </w:r>
      <w:r w:rsidRPr="00920387">
        <w:rPr>
          <w:sz w:val="22"/>
          <w:szCs w:val="22"/>
          <w:lang w:val="en-US"/>
        </w:rPr>
        <w:t xml:space="preserve"> </w:t>
      </w:r>
      <w:r w:rsidR="00355C93">
        <w:rPr>
          <w:sz w:val="22"/>
          <w:szCs w:val="22"/>
          <w:lang w:val="en-US"/>
        </w:rPr>
        <w:t>(“</w:t>
      </w:r>
      <w:r w:rsidR="00355C93" w:rsidRPr="00355C93">
        <w:rPr>
          <w:b/>
          <w:bCs/>
          <w:i/>
          <w:iCs/>
          <w:sz w:val="22"/>
          <w:szCs w:val="22"/>
          <w:lang w:val="en-US"/>
        </w:rPr>
        <w:t>Global Diaper</w:t>
      </w:r>
      <w:r w:rsidR="00355C93">
        <w:rPr>
          <w:sz w:val="22"/>
          <w:szCs w:val="22"/>
          <w:lang w:val="en-US"/>
        </w:rPr>
        <w:t xml:space="preserve">”) </w:t>
      </w:r>
      <w:r w:rsidRPr="00920387">
        <w:rPr>
          <w:sz w:val="22"/>
          <w:szCs w:val="22"/>
          <w:lang w:val="en-US"/>
        </w:rPr>
        <w:t xml:space="preserve">the Ontario Superior Court of Justice considered a franchisee’s motion for rescission </w:t>
      </w:r>
      <w:proofErr w:type="gramStart"/>
      <w:r w:rsidRPr="00920387">
        <w:rPr>
          <w:sz w:val="22"/>
          <w:szCs w:val="22"/>
          <w:lang w:val="en-US"/>
        </w:rPr>
        <w:t>on the basis of</w:t>
      </w:r>
      <w:proofErr w:type="gramEnd"/>
      <w:r w:rsidRPr="00920387">
        <w:rPr>
          <w:sz w:val="22"/>
          <w:szCs w:val="22"/>
          <w:lang w:val="en-US"/>
        </w:rPr>
        <w:t xml:space="preserve"> alleged non-compliance with disclosure requirements.</w:t>
      </w:r>
      <w:r>
        <w:rPr>
          <w:rStyle w:val="FootnoteReference"/>
          <w:sz w:val="22"/>
          <w:szCs w:val="22"/>
          <w:lang w:val="en-US"/>
        </w:rPr>
        <w:footnoteReference w:id="14"/>
      </w:r>
      <w:r w:rsidRPr="00920387">
        <w:rPr>
          <w:sz w:val="22"/>
          <w:szCs w:val="22"/>
          <w:lang w:val="en-US"/>
        </w:rPr>
        <w:t xml:space="preserve"> The court found that the disclosure document was materially deficient in several respects. </w:t>
      </w:r>
      <w:r>
        <w:rPr>
          <w:sz w:val="22"/>
          <w:szCs w:val="22"/>
          <w:lang w:val="en-US"/>
        </w:rPr>
        <w:t>Significantly</w:t>
      </w:r>
      <w:r w:rsidRPr="00920387">
        <w:rPr>
          <w:sz w:val="22"/>
          <w:szCs w:val="22"/>
          <w:lang w:val="en-US"/>
        </w:rPr>
        <w:t xml:space="preserve">, the </w:t>
      </w:r>
      <w:r w:rsidR="000B2BB4">
        <w:rPr>
          <w:sz w:val="22"/>
          <w:szCs w:val="22"/>
          <w:lang w:val="en-US"/>
        </w:rPr>
        <w:t>Earnings Projection</w:t>
      </w:r>
      <w:r w:rsidRPr="00920387">
        <w:rPr>
          <w:sz w:val="22"/>
          <w:szCs w:val="22"/>
          <w:lang w:val="en-US"/>
        </w:rPr>
        <w:t xml:space="preserve">s </w:t>
      </w:r>
      <w:r>
        <w:rPr>
          <w:sz w:val="22"/>
          <w:szCs w:val="22"/>
          <w:lang w:val="en-US"/>
        </w:rPr>
        <w:t xml:space="preserve">provided by the franchisor </w:t>
      </w:r>
      <w:r w:rsidRPr="00920387">
        <w:rPr>
          <w:sz w:val="22"/>
          <w:szCs w:val="22"/>
          <w:lang w:val="en-US"/>
        </w:rPr>
        <w:t xml:space="preserve">lacked a statement specifying the location where substantiating information could be inspected, </w:t>
      </w:r>
      <w:r>
        <w:rPr>
          <w:sz w:val="22"/>
          <w:szCs w:val="22"/>
          <w:lang w:val="en-US"/>
        </w:rPr>
        <w:t>in</w:t>
      </w:r>
      <w:r w:rsidRPr="00920387">
        <w:rPr>
          <w:sz w:val="22"/>
          <w:szCs w:val="22"/>
          <w:lang w:val="en-US"/>
        </w:rPr>
        <w:t xml:space="preserve"> contravention of the Regulation</w:t>
      </w:r>
      <w:r>
        <w:rPr>
          <w:sz w:val="22"/>
          <w:szCs w:val="22"/>
          <w:lang w:val="en-US"/>
        </w:rPr>
        <w:t>.</w:t>
      </w:r>
      <w:r>
        <w:rPr>
          <w:rStyle w:val="FootnoteReference"/>
          <w:sz w:val="22"/>
          <w:szCs w:val="22"/>
          <w:lang w:val="en-US"/>
        </w:rPr>
        <w:footnoteReference w:id="15"/>
      </w:r>
      <w:r>
        <w:rPr>
          <w:sz w:val="22"/>
          <w:szCs w:val="22"/>
          <w:lang w:val="en-US"/>
        </w:rPr>
        <w:t xml:space="preserve"> </w:t>
      </w:r>
      <w:r w:rsidRPr="00920387">
        <w:rPr>
          <w:sz w:val="22"/>
          <w:szCs w:val="22"/>
          <w:lang w:val="en-US"/>
        </w:rPr>
        <w:t xml:space="preserve">While </w:t>
      </w:r>
      <w:r>
        <w:rPr>
          <w:sz w:val="22"/>
          <w:szCs w:val="22"/>
          <w:lang w:val="en-US"/>
        </w:rPr>
        <w:t xml:space="preserve">the basis for, and </w:t>
      </w:r>
      <w:r w:rsidRPr="00920387">
        <w:rPr>
          <w:sz w:val="22"/>
          <w:szCs w:val="22"/>
          <w:lang w:val="en-US"/>
        </w:rPr>
        <w:t xml:space="preserve">assumptions </w:t>
      </w:r>
      <w:r>
        <w:rPr>
          <w:sz w:val="22"/>
          <w:szCs w:val="22"/>
          <w:lang w:val="en-US"/>
        </w:rPr>
        <w:t>underlying, the information provided were included in the disclosure document</w:t>
      </w:r>
      <w:r w:rsidRPr="00920387">
        <w:rPr>
          <w:sz w:val="22"/>
          <w:szCs w:val="22"/>
          <w:lang w:val="en-US"/>
        </w:rPr>
        <w:t>, this omission</w:t>
      </w:r>
      <w:r>
        <w:rPr>
          <w:sz w:val="22"/>
          <w:szCs w:val="22"/>
          <w:lang w:val="en-US"/>
        </w:rPr>
        <w:t xml:space="preserve"> of a statement specifying the location where this information could be substantiated</w:t>
      </w:r>
      <w:r w:rsidRPr="00920387">
        <w:rPr>
          <w:sz w:val="22"/>
          <w:szCs w:val="22"/>
          <w:lang w:val="en-US"/>
        </w:rPr>
        <w:t xml:space="preserve"> was deemed </w:t>
      </w:r>
      <w:r>
        <w:rPr>
          <w:sz w:val="22"/>
          <w:szCs w:val="22"/>
          <w:lang w:val="en-US"/>
        </w:rPr>
        <w:t>to be a material deficiency, along with other deficiencies noted by the court.</w:t>
      </w:r>
      <w:r>
        <w:rPr>
          <w:rStyle w:val="FootnoteReference"/>
          <w:sz w:val="22"/>
          <w:szCs w:val="22"/>
          <w:lang w:val="en-US"/>
        </w:rPr>
        <w:footnoteReference w:id="16"/>
      </w:r>
      <w:r>
        <w:rPr>
          <w:sz w:val="22"/>
          <w:szCs w:val="22"/>
          <w:lang w:val="en-US"/>
        </w:rPr>
        <w:t xml:space="preserve"> Additionally, t</w:t>
      </w:r>
      <w:r w:rsidRPr="00920387">
        <w:rPr>
          <w:sz w:val="22"/>
          <w:szCs w:val="22"/>
          <w:lang w:val="en-US"/>
        </w:rPr>
        <w:t xml:space="preserve">he court emphasized that financial projections are a pivotal component of the disclosure package, enabling prospective franchisees to assess the financial viability of their </w:t>
      </w:r>
      <w:r w:rsidRPr="00C904A2">
        <w:rPr>
          <w:sz w:val="22"/>
          <w:szCs w:val="22"/>
          <w:lang w:val="en-US"/>
        </w:rPr>
        <w:t>investment</w:t>
      </w:r>
      <w:r>
        <w:rPr>
          <w:sz w:val="22"/>
          <w:szCs w:val="22"/>
          <w:lang w:val="en-US"/>
        </w:rPr>
        <w:t xml:space="preserve">. </w:t>
      </w:r>
      <w:r>
        <w:rPr>
          <w:rStyle w:val="FootnoteReference"/>
          <w:sz w:val="22"/>
          <w:szCs w:val="22"/>
          <w:lang w:val="en-US"/>
        </w:rPr>
        <w:footnoteReference w:id="17"/>
      </w:r>
      <w:r w:rsidRPr="00920387">
        <w:rPr>
          <w:sz w:val="22"/>
          <w:szCs w:val="22"/>
          <w:lang w:val="en-US"/>
        </w:rPr>
        <w:t xml:space="preserve"> The absence of a specified location for inspection of substantiating information, as </w:t>
      </w:r>
      <w:r>
        <w:rPr>
          <w:sz w:val="22"/>
          <w:szCs w:val="22"/>
          <w:lang w:val="en-US"/>
        </w:rPr>
        <w:t>prescribed</w:t>
      </w:r>
      <w:r w:rsidRPr="00920387">
        <w:rPr>
          <w:sz w:val="22"/>
          <w:szCs w:val="22"/>
          <w:lang w:val="en-US"/>
        </w:rPr>
        <w:t xml:space="preserve">, was held to deprive the franchisee of a crucial tool for informed decision-making. The court concluded that such deficiencies rendered the disclosure so incomplete that it amounted to </w:t>
      </w:r>
      <w:r>
        <w:rPr>
          <w:sz w:val="22"/>
          <w:szCs w:val="22"/>
          <w:lang w:val="en-US"/>
        </w:rPr>
        <w:t>“</w:t>
      </w:r>
      <w:r w:rsidRPr="00920387">
        <w:rPr>
          <w:sz w:val="22"/>
          <w:szCs w:val="22"/>
          <w:lang w:val="en-US"/>
        </w:rPr>
        <w:t>no disclosure</w:t>
      </w:r>
      <w:r>
        <w:rPr>
          <w:sz w:val="22"/>
          <w:szCs w:val="22"/>
          <w:lang w:val="en-US"/>
        </w:rPr>
        <w:t>”</w:t>
      </w:r>
      <w:r w:rsidRPr="00920387">
        <w:rPr>
          <w:sz w:val="22"/>
          <w:szCs w:val="22"/>
          <w:lang w:val="en-US"/>
        </w:rPr>
        <w:t xml:space="preserve"> under the Act, thereby entitling the franchisee to e</w:t>
      </w:r>
      <w:r>
        <w:rPr>
          <w:sz w:val="22"/>
          <w:szCs w:val="22"/>
          <w:lang w:val="en-US"/>
        </w:rPr>
        <w:t>xercise the rescission remedy.</w:t>
      </w:r>
      <w:r>
        <w:rPr>
          <w:rStyle w:val="FootnoteReference"/>
          <w:sz w:val="22"/>
          <w:szCs w:val="22"/>
          <w:lang w:val="en-US"/>
        </w:rPr>
        <w:footnoteReference w:id="18"/>
      </w:r>
      <w:r>
        <w:rPr>
          <w:sz w:val="22"/>
          <w:szCs w:val="22"/>
          <w:lang w:val="en-US"/>
        </w:rPr>
        <w:t xml:space="preserve"> </w:t>
      </w:r>
    </w:p>
    <w:p w14:paraId="47045E37" w14:textId="77777777" w:rsidR="001E6B04" w:rsidRPr="00920387" w:rsidRDefault="001E6B04" w:rsidP="00212691">
      <w:pPr>
        <w:spacing w:line="276" w:lineRule="auto"/>
        <w:rPr>
          <w:sz w:val="22"/>
          <w:szCs w:val="22"/>
          <w:lang w:val="en-US"/>
        </w:rPr>
      </w:pPr>
      <w:r w:rsidRPr="00920387">
        <w:rPr>
          <w:sz w:val="22"/>
          <w:szCs w:val="22"/>
          <w:lang w:val="en-US"/>
        </w:rPr>
        <w:t>A similar approach was adopted in </w:t>
      </w:r>
      <w:r w:rsidRPr="00920387">
        <w:rPr>
          <w:i/>
          <w:iCs/>
          <w:sz w:val="22"/>
          <w:szCs w:val="22"/>
          <w:lang w:val="en-US"/>
        </w:rPr>
        <w:t>Giroux et al. v. 1073355 Ont. Ltd. et al</w:t>
      </w:r>
      <w:r>
        <w:rPr>
          <w:sz w:val="22"/>
          <w:szCs w:val="22"/>
          <w:lang w:val="en-US"/>
        </w:rPr>
        <w:t>,</w:t>
      </w:r>
      <w:r w:rsidRPr="00920387">
        <w:rPr>
          <w:sz w:val="22"/>
          <w:szCs w:val="22"/>
          <w:lang w:val="en-US"/>
        </w:rPr>
        <w:t xml:space="preserve"> where the court addressed the sufficiency of </w:t>
      </w:r>
      <w:r>
        <w:rPr>
          <w:sz w:val="22"/>
          <w:szCs w:val="22"/>
          <w:lang w:val="en-US"/>
        </w:rPr>
        <w:t>the financial and related information</w:t>
      </w:r>
      <w:r w:rsidRPr="00920387">
        <w:rPr>
          <w:sz w:val="22"/>
          <w:szCs w:val="22"/>
          <w:lang w:val="en-US"/>
        </w:rPr>
        <w:t xml:space="preserve"> provided in the disclosure document.</w:t>
      </w:r>
      <w:r>
        <w:rPr>
          <w:rStyle w:val="FootnoteReference"/>
          <w:sz w:val="22"/>
          <w:szCs w:val="22"/>
          <w:lang w:val="en-US"/>
        </w:rPr>
        <w:footnoteReference w:id="19"/>
      </w:r>
      <w:r w:rsidRPr="00920387">
        <w:rPr>
          <w:sz w:val="22"/>
          <w:szCs w:val="22"/>
          <w:lang w:val="en-US"/>
        </w:rPr>
        <w:t xml:space="preserve"> The court held that graphical representations of franchisee earnings qualified as financial projections and thus triggered the full scope of </w:t>
      </w:r>
      <w:r>
        <w:rPr>
          <w:sz w:val="22"/>
          <w:szCs w:val="22"/>
          <w:lang w:val="en-US"/>
        </w:rPr>
        <w:t>required statements under the Regulation</w:t>
      </w:r>
      <w:r w:rsidRPr="00920387">
        <w:rPr>
          <w:sz w:val="22"/>
          <w:szCs w:val="22"/>
          <w:lang w:val="en-US"/>
        </w:rPr>
        <w:t xml:space="preserve">, even </w:t>
      </w:r>
      <w:r>
        <w:rPr>
          <w:sz w:val="22"/>
          <w:szCs w:val="22"/>
          <w:lang w:val="en-US"/>
        </w:rPr>
        <w:t>though</w:t>
      </w:r>
      <w:r w:rsidRPr="00920387">
        <w:rPr>
          <w:sz w:val="22"/>
          <w:szCs w:val="22"/>
          <w:lang w:val="en-US"/>
        </w:rPr>
        <w:t xml:space="preserve"> </w:t>
      </w:r>
      <w:r>
        <w:rPr>
          <w:sz w:val="22"/>
          <w:szCs w:val="22"/>
          <w:lang w:val="en-US"/>
        </w:rPr>
        <w:t>the franchisor</w:t>
      </w:r>
      <w:r w:rsidRPr="00920387">
        <w:rPr>
          <w:sz w:val="22"/>
          <w:szCs w:val="22"/>
          <w:lang w:val="en-US"/>
        </w:rPr>
        <w:t xml:space="preserve"> presented historical </w:t>
      </w:r>
      <w:r w:rsidRPr="00920387">
        <w:rPr>
          <w:sz w:val="22"/>
          <w:szCs w:val="22"/>
          <w:lang w:val="en-US"/>
        </w:rPr>
        <w:lastRenderedPageBreak/>
        <w:t>earnings</w:t>
      </w:r>
      <w:r>
        <w:rPr>
          <w:sz w:val="22"/>
          <w:szCs w:val="22"/>
          <w:lang w:val="en-US"/>
        </w:rPr>
        <w:t>.</w:t>
      </w:r>
      <w:r>
        <w:rPr>
          <w:rStyle w:val="FootnoteReference"/>
          <w:sz w:val="22"/>
          <w:szCs w:val="22"/>
          <w:lang w:val="en-US"/>
        </w:rPr>
        <w:footnoteReference w:id="20"/>
      </w:r>
      <w:r>
        <w:rPr>
          <w:sz w:val="22"/>
          <w:szCs w:val="22"/>
          <w:lang w:val="en-US"/>
        </w:rPr>
        <w:t xml:space="preserve"> </w:t>
      </w:r>
      <w:r w:rsidRPr="00920387">
        <w:rPr>
          <w:sz w:val="22"/>
          <w:szCs w:val="22"/>
          <w:lang w:val="en-US"/>
        </w:rPr>
        <w:t>The franchisor’s failure to indicate a location for the inspection of substantiating information constituted a breach of section 6(3) of the Regulation.</w:t>
      </w:r>
      <w:r>
        <w:rPr>
          <w:rStyle w:val="FootnoteReference"/>
          <w:sz w:val="22"/>
          <w:szCs w:val="22"/>
          <w:lang w:val="en-US"/>
        </w:rPr>
        <w:footnoteReference w:id="21"/>
      </w:r>
      <w:r w:rsidRPr="00920387">
        <w:rPr>
          <w:sz w:val="22"/>
          <w:szCs w:val="22"/>
          <w:lang w:val="en-US"/>
        </w:rPr>
        <w:t xml:space="preserve"> Without the ability to inspect the information underlying the</w:t>
      </w:r>
      <w:r>
        <w:rPr>
          <w:sz w:val="22"/>
          <w:szCs w:val="22"/>
          <w:lang w:val="en-US"/>
        </w:rPr>
        <w:t xml:space="preserve"> financial projections</w:t>
      </w:r>
      <w:r w:rsidRPr="00920387">
        <w:rPr>
          <w:sz w:val="22"/>
          <w:szCs w:val="22"/>
          <w:lang w:val="en-US"/>
        </w:rPr>
        <w:t>, the franchisees were deprived of an essential tool for making an informed investment decision, rendering the disclosure</w:t>
      </w:r>
      <w:r>
        <w:rPr>
          <w:sz w:val="22"/>
          <w:szCs w:val="22"/>
          <w:lang w:val="en-US"/>
        </w:rPr>
        <w:t xml:space="preserve"> document</w:t>
      </w:r>
      <w:r w:rsidRPr="00920387">
        <w:rPr>
          <w:sz w:val="22"/>
          <w:szCs w:val="22"/>
          <w:lang w:val="en-US"/>
        </w:rPr>
        <w:t xml:space="preserve"> materially deficient</w:t>
      </w:r>
      <w:r>
        <w:rPr>
          <w:sz w:val="22"/>
          <w:szCs w:val="22"/>
          <w:lang w:val="en-US"/>
        </w:rPr>
        <w:t>.</w:t>
      </w:r>
      <w:r>
        <w:rPr>
          <w:rStyle w:val="FootnoteReference"/>
          <w:sz w:val="22"/>
          <w:szCs w:val="22"/>
          <w:lang w:val="en-US"/>
        </w:rPr>
        <w:footnoteReference w:id="22"/>
      </w:r>
      <w:r>
        <w:rPr>
          <w:sz w:val="22"/>
          <w:szCs w:val="22"/>
          <w:lang w:val="en-US"/>
        </w:rPr>
        <w:t xml:space="preserve"> </w:t>
      </w:r>
      <w:r w:rsidRPr="00920387">
        <w:rPr>
          <w:sz w:val="22"/>
          <w:szCs w:val="22"/>
          <w:lang w:val="en-US"/>
        </w:rPr>
        <w:t xml:space="preserve">The deficiencies in the disclosure document were found to be material and the franchisees </w:t>
      </w:r>
      <w:r>
        <w:rPr>
          <w:sz w:val="22"/>
          <w:szCs w:val="22"/>
          <w:lang w:val="en-US"/>
        </w:rPr>
        <w:t xml:space="preserve">were entitled </w:t>
      </w:r>
      <w:r w:rsidRPr="00920387">
        <w:rPr>
          <w:sz w:val="22"/>
          <w:szCs w:val="22"/>
          <w:lang w:val="en-US"/>
        </w:rPr>
        <w:t xml:space="preserve">to rescind the </w:t>
      </w:r>
      <w:r>
        <w:rPr>
          <w:sz w:val="22"/>
          <w:szCs w:val="22"/>
          <w:lang w:val="en-US"/>
        </w:rPr>
        <w:t xml:space="preserve">franchise </w:t>
      </w:r>
      <w:r w:rsidRPr="00920387">
        <w:rPr>
          <w:sz w:val="22"/>
          <w:szCs w:val="22"/>
          <w:lang w:val="en-US"/>
        </w:rPr>
        <w:t>agreement.</w:t>
      </w:r>
    </w:p>
    <w:p w14:paraId="0D9F2B9E" w14:textId="282F7E74" w:rsidR="001E6B04" w:rsidRPr="00920387" w:rsidRDefault="001E6B04" w:rsidP="00212691">
      <w:pPr>
        <w:spacing w:line="276" w:lineRule="auto"/>
        <w:rPr>
          <w:sz w:val="22"/>
          <w:szCs w:val="22"/>
          <w:lang w:val="en-US"/>
        </w:rPr>
      </w:pPr>
      <w:r w:rsidRPr="00920387">
        <w:rPr>
          <w:sz w:val="22"/>
          <w:szCs w:val="22"/>
          <w:lang w:val="en-US"/>
        </w:rPr>
        <w:t>The principle that even unsolicited or informally provided</w:t>
      </w:r>
      <w:r>
        <w:rPr>
          <w:sz w:val="22"/>
          <w:szCs w:val="22"/>
          <w:lang w:val="en-US"/>
        </w:rPr>
        <w:t xml:space="preserve"> financial projections</w:t>
      </w:r>
      <w:r w:rsidRPr="00920387">
        <w:rPr>
          <w:sz w:val="22"/>
          <w:szCs w:val="22"/>
          <w:lang w:val="en-US"/>
        </w:rPr>
        <w:t xml:space="preserve"> must be formally disclosed was underscored in </w:t>
      </w:r>
      <w:r w:rsidRPr="00920387">
        <w:rPr>
          <w:i/>
          <w:iCs/>
          <w:sz w:val="22"/>
          <w:szCs w:val="22"/>
          <w:lang w:val="en-US"/>
        </w:rPr>
        <w:t>2212886 Ontario v. Obsidian Group</w:t>
      </w:r>
      <w:r>
        <w:rPr>
          <w:sz w:val="22"/>
          <w:szCs w:val="22"/>
          <w:lang w:val="en-US"/>
        </w:rPr>
        <w:t>.</w:t>
      </w:r>
      <w:r>
        <w:rPr>
          <w:rStyle w:val="FootnoteReference"/>
          <w:sz w:val="22"/>
          <w:szCs w:val="22"/>
          <w:lang w:val="en-US"/>
        </w:rPr>
        <w:footnoteReference w:id="23"/>
      </w:r>
      <w:r>
        <w:rPr>
          <w:sz w:val="22"/>
          <w:szCs w:val="22"/>
          <w:lang w:val="en-US"/>
        </w:rPr>
        <w:t xml:space="preserve"> </w:t>
      </w:r>
      <w:r w:rsidRPr="00920387">
        <w:rPr>
          <w:sz w:val="22"/>
          <w:szCs w:val="22"/>
          <w:lang w:val="en-US"/>
        </w:rPr>
        <w:t xml:space="preserve">In this case, the court determined that while </w:t>
      </w:r>
      <w:r w:rsidR="000B2BB4">
        <w:rPr>
          <w:sz w:val="22"/>
          <w:szCs w:val="22"/>
          <w:lang w:val="en-US"/>
        </w:rPr>
        <w:t>Earnings Projection</w:t>
      </w:r>
      <w:r w:rsidRPr="00920387">
        <w:rPr>
          <w:sz w:val="22"/>
          <w:szCs w:val="22"/>
          <w:lang w:val="en-US"/>
        </w:rPr>
        <w:t xml:space="preserve">s are not </w:t>
      </w:r>
      <w:r>
        <w:rPr>
          <w:sz w:val="22"/>
          <w:szCs w:val="22"/>
          <w:lang w:val="en-US"/>
        </w:rPr>
        <w:t>required by the Regulation to be included in a disclosure document</w:t>
      </w:r>
      <w:r w:rsidRPr="00920387">
        <w:rPr>
          <w:sz w:val="22"/>
          <w:szCs w:val="22"/>
          <w:lang w:val="en-US"/>
        </w:rPr>
        <w:t xml:space="preserve">, once </w:t>
      </w:r>
      <w:r>
        <w:rPr>
          <w:sz w:val="22"/>
          <w:szCs w:val="22"/>
          <w:lang w:val="en-US"/>
        </w:rPr>
        <w:t>financial information is</w:t>
      </w:r>
      <w:r w:rsidRPr="00920387">
        <w:rPr>
          <w:sz w:val="22"/>
          <w:szCs w:val="22"/>
          <w:lang w:val="en-US"/>
        </w:rPr>
        <w:t xml:space="preserve"> </w:t>
      </w:r>
      <w:r>
        <w:rPr>
          <w:sz w:val="22"/>
          <w:szCs w:val="22"/>
          <w:lang w:val="en-US"/>
        </w:rPr>
        <w:t xml:space="preserve">provided </w:t>
      </w:r>
      <w:r w:rsidRPr="00920387">
        <w:rPr>
          <w:sz w:val="22"/>
          <w:szCs w:val="22"/>
          <w:lang w:val="en-US"/>
        </w:rPr>
        <w:t>to a franchisee</w:t>
      </w:r>
      <w:r>
        <w:rPr>
          <w:sz w:val="22"/>
          <w:szCs w:val="22"/>
          <w:lang w:val="en-US"/>
        </w:rPr>
        <w:t xml:space="preserve"> outside of the disclosure context</w:t>
      </w:r>
      <w:r w:rsidRPr="00920387">
        <w:rPr>
          <w:sz w:val="22"/>
          <w:szCs w:val="22"/>
          <w:lang w:val="en-US"/>
        </w:rPr>
        <w:t>,</w:t>
      </w:r>
      <w:r>
        <w:rPr>
          <w:sz w:val="22"/>
          <w:szCs w:val="22"/>
          <w:lang w:val="en-US"/>
        </w:rPr>
        <w:t xml:space="preserve"> the information</w:t>
      </w:r>
      <w:r w:rsidRPr="00920387">
        <w:rPr>
          <w:sz w:val="22"/>
          <w:szCs w:val="22"/>
          <w:lang w:val="en-US"/>
        </w:rPr>
        <w:t xml:space="preserve"> must </w:t>
      </w:r>
      <w:r>
        <w:rPr>
          <w:sz w:val="22"/>
          <w:szCs w:val="22"/>
          <w:lang w:val="en-US"/>
        </w:rPr>
        <w:t xml:space="preserve">then </w:t>
      </w:r>
      <w:r w:rsidRPr="00920387">
        <w:rPr>
          <w:sz w:val="22"/>
          <w:szCs w:val="22"/>
          <w:lang w:val="en-US"/>
        </w:rPr>
        <w:t>be included in the formal disclosure documentation</w:t>
      </w:r>
      <w:r>
        <w:rPr>
          <w:sz w:val="22"/>
          <w:szCs w:val="22"/>
          <w:lang w:val="en-US"/>
        </w:rPr>
        <w:t>.</w:t>
      </w:r>
      <w:r>
        <w:rPr>
          <w:rStyle w:val="FootnoteReference"/>
          <w:sz w:val="22"/>
          <w:szCs w:val="22"/>
          <w:lang w:val="en-US"/>
        </w:rPr>
        <w:footnoteReference w:id="24"/>
      </w:r>
      <w:r>
        <w:rPr>
          <w:sz w:val="22"/>
          <w:szCs w:val="22"/>
          <w:lang w:val="en-US"/>
        </w:rPr>
        <w:t xml:space="preserve"> </w:t>
      </w:r>
      <w:r w:rsidRPr="00920387">
        <w:rPr>
          <w:sz w:val="22"/>
          <w:szCs w:val="22"/>
          <w:lang w:val="en-US"/>
        </w:rPr>
        <w:t>The court reiterated that the </w:t>
      </w:r>
      <w:r>
        <w:rPr>
          <w:sz w:val="22"/>
          <w:szCs w:val="22"/>
          <w:lang w:val="en-US"/>
        </w:rPr>
        <w:t>Act</w:t>
      </w:r>
      <w:r w:rsidRPr="00920387">
        <w:rPr>
          <w:sz w:val="22"/>
          <w:szCs w:val="22"/>
          <w:lang w:val="en-US"/>
        </w:rPr>
        <w:t xml:space="preserve"> aims to protect franchisees by ensuring complete and accurate disclosure</w:t>
      </w:r>
      <w:r>
        <w:rPr>
          <w:sz w:val="22"/>
          <w:szCs w:val="22"/>
          <w:lang w:val="en-US"/>
        </w:rPr>
        <w:t>.</w:t>
      </w:r>
      <w:r>
        <w:rPr>
          <w:rStyle w:val="FootnoteReference"/>
          <w:sz w:val="22"/>
          <w:szCs w:val="22"/>
          <w:lang w:val="en-US"/>
        </w:rPr>
        <w:footnoteReference w:id="25"/>
      </w:r>
      <w:r w:rsidRPr="00920387">
        <w:rPr>
          <w:sz w:val="22"/>
          <w:szCs w:val="22"/>
          <w:lang w:val="en-US"/>
        </w:rPr>
        <w:t xml:space="preserve"> The omission of such crucial information ma</w:t>
      </w:r>
      <w:r>
        <w:rPr>
          <w:sz w:val="22"/>
          <w:szCs w:val="22"/>
          <w:lang w:val="en-US"/>
        </w:rPr>
        <w:t>de</w:t>
      </w:r>
      <w:r w:rsidRPr="00920387">
        <w:rPr>
          <w:sz w:val="22"/>
          <w:szCs w:val="22"/>
          <w:lang w:val="en-US"/>
        </w:rPr>
        <w:t xml:space="preserve"> the disclosure</w:t>
      </w:r>
      <w:r>
        <w:rPr>
          <w:sz w:val="22"/>
          <w:szCs w:val="22"/>
          <w:lang w:val="en-US"/>
        </w:rPr>
        <w:t xml:space="preserve"> document</w:t>
      </w:r>
      <w:r w:rsidRPr="00920387">
        <w:rPr>
          <w:sz w:val="22"/>
          <w:szCs w:val="22"/>
          <w:lang w:val="en-US"/>
        </w:rPr>
        <w:t xml:space="preserve"> so deficient that it</w:t>
      </w:r>
      <w:r>
        <w:rPr>
          <w:sz w:val="22"/>
          <w:szCs w:val="22"/>
          <w:lang w:val="en-US"/>
        </w:rPr>
        <w:t xml:space="preserve"> w</w:t>
      </w:r>
      <w:r w:rsidRPr="00920387">
        <w:rPr>
          <w:sz w:val="22"/>
          <w:szCs w:val="22"/>
          <w:lang w:val="en-US"/>
        </w:rPr>
        <w:t>as if no disclosure occurred at all, thereby triggering the franchisee's right to rescission under Section 6(2) of the Act</w:t>
      </w:r>
      <w:r>
        <w:rPr>
          <w:sz w:val="22"/>
          <w:szCs w:val="22"/>
          <w:lang w:val="en-US"/>
        </w:rPr>
        <w:t>.</w:t>
      </w:r>
      <w:r>
        <w:rPr>
          <w:rStyle w:val="FootnoteReference"/>
          <w:sz w:val="22"/>
          <w:szCs w:val="22"/>
          <w:lang w:val="en-US"/>
        </w:rPr>
        <w:footnoteReference w:id="26"/>
      </w:r>
      <w:r>
        <w:rPr>
          <w:sz w:val="22"/>
          <w:szCs w:val="22"/>
          <w:lang w:val="en-US"/>
        </w:rPr>
        <w:t xml:space="preserve"> </w:t>
      </w:r>
      <w:r w:rsidRPr="00920387">
        <w:rPr>
          <w:sz w:val="22"/>
          <w:szCs w:val="22"/>
          <w:lang w:val="en-US"/>
        </w:rPr>
        <w:t>This ruling further solidifies the statutory goal of enabling franchisees to make an informed investment decision, addressing the inherent imbalance of power between franchisors and franchisees</w:t>
      </w:r>
      <w:r>
        <w:rPr>
          <w:sz w:val="22"/>
          <w:szCs w:val="22"/>
          <w:lang w:val="en-US"/>
        </w:rPr>
        <w:t>.</w:t>
      </w:r>
    </w:p>
    <w:p w14:paraId="2E58F263" w14:textId="7446A7F8" w:rsidR="001E6B04" w:rsidRPr="00920387" w:rsidRDefault="001E6B04" w:rsidP="00212691">
      <w:pPr>
        <w:spacing w:line="276" w:lineRule="auto"/>
        <w:rPr>
          <w:sz w:val="22"/>
          <w:szCs w:val="22"/>
          <w:lang w:val="en-US"/>
        </w:rPr>
      </w:pPr>
      <w:r w:rsidRPr="00920387">
        <w:rPr>
          <w:sz w:val="22"/>
          <w:szCs w:val="22"/>
          <w:lang w:val="en-US"/>
        </w:rPr>
        <w:t xml:space="preserve">These cases collectively illustrate the </w:t>
      </w:r>
      <w:r>
        <w:rPr>
          <w:sz w:val="22"/>
          <w:szCs w:val="22"/>
          <w:lang w:val="en-US"/>
        </w:rPr>
        <w:t>Courts’</w:t>
      </w:r>
      <w:r w:rsidRPr="00920387">
        <w:rPr>
          <w:sz w:val="22"/>
          <w:szCs w:val="22"/>
          <w:lang w:val="en-US"/>
        </w:rPr>
        <w:t xml:space="preserve"> strict approach to the enforcement of disclosure obligations under the </w:t>
      </w:r>
      <w:r w:rsidRPr="009B52C4">
        <w:rPr>
          <w:sz w:val="22"/>
          <w:szCs w:val="22"/>
          <w:lang w:val="en-US"/>
        </w:rPr>
        <w:t>Act</w:t>
      </w:r>
      <w:r w:rsidRPr="00920387">
        <w:rPr>
          <w:sz w:val="22"/>
          <w:szCs w:val="22"/>
          <w:lang w:val="en-US"/>
        </w:rPr>
        <w:t xml:space="preserve"> and its Regulatio</w:t>
      </w:r>
      <w:r>
        <w:rPr>
          <w:sz w:val="22"/>
          <w:szCs w:val="22"/>
          <w:lang w:val="en-US"/>
        </w:rPr>
        <w:t>n</w:t>
      </w:r>
      <w:r w:rsidRPr="00920387">
        <w:rPr>
          <w:sz w:val="22"/>
          <w:szCs w:val="22"/>
          <w:lang w:val="en-US"/>
        </w:rPr>
        <w:t xml:space="preserve">. The courts have consistently held that even technical or formal deficiencies in the disclosure of </w:t>
      </w:r>
      <w:r w:rsidR="000B2BB4">
        <w:rPr>
          <w:sz w:val="22"/>
          <w:szCs w:val="22"/>
          <w:lang w:val="en-US"/>
        </w:rPr>
        <w:t>Earnings Projection</w:t>
      </w:r>
      <w:r>
        <w:rPr>
          <w:sz w:val="22"/>
          <w:szCs w:val="22"/>
          <w:lang w:val="en-US"/>
        </w:rPr>
        <w:t xml:space="preserve">s </w:t>
      </w:r>
      <w:r w:rsidRPr="00920387">
        <w:rPr>
          <w:sz w:val="22"/>
          <w:szCs w:val="22"/>
          <w:lang w:val="en-US"/>
        </w:rPr>
        <w:t>and other material financial information can have significant consequences, including the right of rescission. The legislative and judicial framework thus underscores the necessity for franchisors to ensure that all</w:t>
      </w:r>
      <w:r>
        <w:rPr>
          <w:sz w:val="22"/>
          <w:szCs w:val="22"/>
          <w:lang w:val="en-US"/>
        </w:rPr>
        <w:t xml:space="preserve"> </w:t>
      </w:r>
      <w:r w:rsidR="000B2BB4">
        <w:rPr>
          <w:sz w:val="22"/>
          <w:szCs w:val="22"/>
          <w:lang w:val="en-US"/>
        </w:rPr>
        <w:t>Earnings Projection</w:t>
      </w:r>
      <w:r>
        <w:rPr>
          <w:sz w:val="22"/>
          <w:szCs w:val="22"/>
          <w:lang w:val="en-US"/>
        </w:rPr>
        <w:t>s</w:t>
      </w:r>
      <w:r w:rsidRPr="00920387">
        <w:rPr>
          <w:sz w:val="22"/>
          <w:szCs w:val="22"/>
          <w:lang w:val="en-US"/>
        </w:rPr>
        <w:t xml:space="preserve"> </w:t>
      </w:r>
      <w:r w:rsidR="009B1B95">
        <w:rPr>
          <w:sz w:val="22"/>
          <w:szCs w:val="22"/>
          <w:lang w:val="en-US"/>
        </w:rPr>
        <w:t>fully comply with the obligations set forth in section 6(3)</w:t>
      </w:r>
      <w:r w:rsidR="0034073C">
        <w:rPr>
          <w:sz w:val="22"/>
          <w:szCs w:val="22"/>
          <w:lang w:val="en-US"/>
        </w:rPr>
        <w:t xml:space="preserve"> of the Regulation, </w:t>
      </w:r>
      <w:r w:rsidRPr="00920387">
        <w:rPr>
          <w:sz w:val="22"/>
          <w:szCs w:val="22"/>
          <w:lang w:val="en-US"/>
        </w:rPr>
        <w:t xml:space="preserve">within a single, comprehensive disclosure document. </w:t>
      </w:r>
    </w:p>
    <w:p w14:paraId="22174D9F" w14:textId="312B0084" w:rsidR="001E6B04" w:rsidRDefault="00BC6B6F" w:rsidP="00212691">
      <w:pPr>
        <w:spacing w:line="276" w:lineRule="auto"/>
        <w:rPr>
          <w:sz w:val="22"/>
          <w:szCs w:val="22"/>
          <w:lang w:val="en-US"/>
        </w:rPr>
      </w:pPr>
      <w:r>
        <w:rPr>
          <w:sz w:val="22"/>
          <w:szCs w:val="22"/>
          <w:lang w:val="en-US"/>
        </w:rPr>
        <w:t xml:space="preserve">Finally, as stated above, though based on the wording of the section 6(3) of the Regulation a franchisor is not obligated to, but may </w:t>
      </w:r>
      <w:r w:rsidRPr="00920387">
        <w:rPr>
          <w:sz w:val="22"/>
          <w:szCs w:val="22"/>
          <w:lang w:val="en-US"/>
        </w:rPr>
        <w:t>elect to provide</w:t>
      </w:r>
      <w:r>
        <w:rPr>
          <w:sz w:val="22"/>
          <w:szCs w:val="22"/>
          <w:lang w:val="en-US"/>
        </w:rPr>
        <w:t>,</w:t>
      </w:r>
      <w:r w:rsidRPr="00920387">
        <w:rPr>
          <w:sz w:val="22"/>
          <w:szCs w:val="22"/>
          <w:lang w:val="en-US"/>
        </w:rPr>
        <w:t xml:space="preserve"> </w:t>
      </w:r>
      <w:r>
        <w:rPr>
          <w:sz w:val="22"/>
          <w:szCs w:val="22"/>
          <w:lang w:val="en-US"/>
        </w:rPr>
        <w:t>a prospective franchisee with an “</w:t>
      </w:r>
      <w:r w:rsidR="000B2BB4">
        <w:rPr>
          <w:sz w:val="22"/>
          <w:szCs w:val="22"/>
          <w:lang w:val="en-US"/>
        </w:rPr>
        <w:t>Earnings Projection</w:t>
      </w:r>
      <w:r>
        <w:rPr>
          <w:sz w:val="22"/>
          <w:szCs w:val="22"/>
          <w:lang w:val="en-US"/>
        </w:rPr>
        <w:t>”</w:t>
      </w:r>
      <w:r w:rsidR="00355A01">
        <w:rPr>
          <w:sz w:val="22"/>
          <w:szCs w:val="22"/>
          <w:lang w:val="en-US"/>
        </w:rPr>
        <w:t xml:space="preserve">, </w:t>
      </w:r>
      <w:r>
        <w:rPr>
          <w:sz w:val="22"/>
          <w:szCs w:val="22"/>
          <w:lang w:val="en-US"/>
        </w:rPr>
        <w:t xml:space="preserve">in the view of at least one of the authors, imposing </w:t>
      </w:r>
      <w:r w:rsidR="00355A01">
        <w:rPr>
          <w:sz w:val="22"/>
          <w:szCs w:val="22"/>
          <w:lang w:val="en-US"/>
        </w:rPr>
        <w:t>a</w:t>
      </w:r>
      <w:r>
        <w:rPr>
          <w:sz w:val="22"/>
          <w:szCs w:val="22"/>
          <w:lang w:val="en-US"/>
        </w:rPr>
        <w:t xml:space="preserve"> minimum performance</w:t>
      </w:r>
      <w:r w:rsidR="00C30154">
        <w:rPr>
          <w:sz w:val="22"/>
          <w:szCs w:val="22"/>
          <w:lang w:val="en-US"/>
        </w:rPr>
        <w:t xml:space="preserve"> or </w:t>
      </w:r>
      <w:r>
        <w:rPr>
          <w:sz w:val="22"/>
          <w:szCs w:val="22"/>
          <w:lang w:val="en-US"/>
        </w:rPr>
        <w:t>minimum revenue requirement</w:t>
      </w:r>
      <w:r w:rsidR="00355A01">
        <w:rPr>
          <w:sz w:val="22"/>
          <w:szCs w:val="22"/>
          <w:lang w:val="en-US"/>
        </w:rPr>
        <w:t xml:space="preserve"> on a franchisee</w:t>
      </w:r>
      <w:r>
        <w:rPr>
          <w:sz w:val="22"/>
          <w:szCs w:val="22"/>
          <w:lang w:val="en-US"/>
        </w:rPr>
        <w:t>,</w:t>
      </w:r>
      <w:r w:rsidR="00355A01">
        <w:rPr>
          <w:sz w:val="22"/>
          <w:szCs w:val="22"/>
          <w:lang w:val="en-US"/>
        </w:rPr>
        <w:t xml:space="preserve"> constitutes</w:t>
      </w:r>
      <w:r>
        <w:rPr>
          <w:sz w:val="22"/>
          <w:szCs w:val="22"/>
          <w:lang w:val="en-US"/>
        </w:rPr>
        <w:t xml:space="preserve"> an implied “</w:t>
      </w:r>
      <w:r w:rsidR="000B2BB4">
        <w:rPr>
          <w:sz w:val="22"/>
          <w:szCs w:val="22"/>
          <w:lang w:val="en-US"/>
        </w:rPr>
        <w:t>Earnings Projection</w:t>
      </w:r>
      <w:r>
        <w:rPr>
          <w:sz w:val="22"/>
          <w:szCs w:val="22"/>
          <w:lang w:val="en-US"/>
        </w:rPr>
        <w:t>”.</w:t>
      </w:r>
      <w:r w:rsidR="00C2052A">
        <w:rPr>
          <w:sz w:val="22"/>
          <w:szCs w:val="22"/>
          <w:lang w:val="en-US"/>
        </w:rPr>
        <w:t xml:space="preserve"> </w:t>
      </w:r>
      <w:r>
        <w:rPr>
          <w:sz w:val="22"/>
          <w:szCs w:val="22"/>
          <w:lang w:val="en-US"/>
        </w:rPr>
        <w:t>A minimum performance</w:t>
      </w:r>
      <w:r w:rsidR="00C30154">
        <w:rPr>
          <w:sz w:val="22"/>
          <w:szCs w:val="22"/>
          <w:lang w:val="en-US"/>
        </w:rPr>
        <w:t xml:space="preserve"> or </w:t>
      </w:r>
      <w:r>
        <w:rPr>
          <w:sz w:val="22"/>
          <w:szCs w:val="22"/>
          <w:lang w:val="en-US"/>
        </w:rPr>
        <w:t xml:space="preserve">minimum revenue requirement is an obligation </w:t>
      </w:r>
      <w:r w:rsidRPr="00743ACE">
        <w:rPr>
          <w:sz w:val="22"/>
          <w:szCs w:val="22"/>
          <w:lang w:val="en-US"/>
        </w:rPr>
        <w:t xml:space="preserve">that the franchisee must meet pre-determined criteria </w:t>
      </w:r>
      <w:proofErr w:type="gramStart"/>
      <w:r w:rsidRPr="00743ACE">
        <w:rPr>
          <w:sz w:val="22"/>
          <w:szCs w:val="22"/>
          <w:lang w:val="en-US"/>
        </w:rPr>
        <w:t>in order to</w:t>
      </w:r>
      <w:proofErr w:type="gramEnd"/>
      <w:r w:rsidRPr="00743ACE">
        <w:rPr>
          <w:sz w:val="22"/>
          <w:szCs w:val="22"/>
          <w:lang w:val="en-US"/>
        </w:rPr>
        <w:t xml:space="preserve"> either: a) retain the territory; or b) retain the right to operate the franchised business.</w:t>
      </w:r>
      <w:r w:rsidR="00C2052A">
        <w:rPr>
          <w:sz w:val="22"/>
          <w:szCs w:val="22"/>
          <w:lang w:val="en-US"/>
        </w:rPr>
        <w:t xml:space="preserve"> </w:t>
      </w:r>
      <w:r>
        <w:rPr>
          <w:sz w:val="22"/>
          <w:szCs w:val="22"/>
          <w:lang w:val="en-US"/>
        </w:rPr>
        <w:t xml:space="preserve">Essentially (at least in the view of one of the authors) the franchisor is saying </w:t>
      </w:r>
      <w:r w:rsidR="00491C25">
        <w:rPr>
          <w:sz w:val="22"/>
          <w:szCs w:val="22"/>
          <w:lang w:val="en-US"/>
        </w:rPr>
        <w:t xml:space="preserve">is </w:t>
      </w:r>
      <w:r>
        <w:rPr>
          <w:sz w:val="22"/>
          <w:szCs w:val="22"/>
          <w:lang w:val="en-US"/>
        </w:rPr>
        <w:t xml:space="preserve">that if </w:t>
      </w:r>
      <w:r w:rsidR="00491C25">
        <w:rPr>
          <w:sz w:val="22"/>
          <w:szCs w:val="22"/>
          <w:lang w:val="en-US"/>
        </w:rPr>
        <w:t>the franchisee</w:t>
      </w:r>
      <w:r>
        <w:rPr>
          <w:sz w:val="22"/>
          <w:szCs w:val="22"/>
          <w:lang w:val="en-US"/>
        </w:rPr>
        <w:t xml:space="preserve"> operates the franchised business properly, </w:t>
      </w:r>
      <w:r w:rsidR="0066017A">
        <w:rPr>
          <w:sz w:val="22"/>
          <w:szCs w:val="22"/>
          <w:lang w:val="en-US"/>
        </w:rPr>
        <w:t>the franchisee</w:t>
      </w:r>
      <w:r>
        <w:rPr>
          <w:sz w:val="22"/>
          <w:szCs w:val="22"/>
          <w:lang w:val="en-US"/>
        </w:rPr>
        <w:t xml:space="preserve"> ought to make at least </w:t>
      </w:r>
      <w:r w:rsidR="0066017A">
        <w:rPr>
          <w:sz w:val="22"/>
          <w:szCs w:val="22"/>
          <w:lang w:val="en-US"/>
        </w:rPr>
        <w:t>meet the</w:t>
      </w:r>
      <w:r>
        <w:rPr>
          <w:sz w:val="22"/>
          <w:szCs w:val="22"/>
          <w:lang w:val="en-US"/>
        </w:rPr>
        <w:t xml:space="preserve"> minimum </w:t>
      </w:r>
      <w:r w:rsidR="0066017A">
        <w:rPr>
          <w:sz w:val="22"/>
          <w:szCs w:val="22"/>
          <w:lang w:val="en-US"/>
        </w:rPr>
        <w:t xml:space="preserve">performance/minimum revenue </w:t>
      </w:r>
      <w:r>
        <w:rPr>
          <w:sz w:val="22"/>
          <w:szCs w:val="22"/>
          <w:lang w:val="en-US"/>
        </w:rPr>
        <w:t>requirement.</w:t>
      </w:r>
      <w:r w:rsidR="00C2052A">
        <w:rPr>
          <w:sz w:val="22"/>
          <w:szCs w:val="22"/>
          <w:lang w:val="en-US"/>
        </w:rPr>
        <w:t xml:space="preserve"> </w:t>
      </w:r>
      <w:r w:rsidR="00FD38B4">
        <w:rPr>
          <w:sz w:val="22"/>
          <w:szCs w:val="22"/>
          <w:lang w:val="en-US"/>
        </w:rPr>
        <w:t>Given the foregoing, the lawyer acting for a franchisor imposing minimum performance</w:t>
      </w:r>
      <w:r w:rsidR="00C42032">
        <w:rPr>
          <w:sz w:val="22"/>
          <w:szCs w:val="22"/>
          <w:lang w:val="en-US"/>
        </w:rPr>
        <w:t>/minimum revenue requirements should alert the franchisor client to the obligation to comply with section 6(3) of the Regulation.</w:t>
      </w:r>
      <w:r w:rsidR="00C2052A">
        <w:rPr>
          <w:sz w:val="22"/>
          <w:szCs w:val="22"/>
          <w:lang w:val="en-US"/>
        </w:rPr>
        <w:t xml:space="preserve"> </w:t>
      </w:r>
    </w:p>
    <w:p w14:paraId="100983CE" w14:textId="53F502C6" w:rsidR="00253D79" w:rsidRPr="00253D79" w:rsidRDefault="00253D79" w:rsidP="00212691">
      <w:pPr>
        <w:pStyle w:val="ListParagraph"/>
        <w:numPr>
          <w:ilvl w:val="0"/>
          <w:numId w:val="18"/>
        </w:numPr>
        <w:spacing w:line="276" w:lineRule="auto"/>
        <w:rPr>
          <w:b/>
          <w:bCs/>
          <w:sz w:val="22"/>
          <w:szCs w:val="22"/>
          <w:lang w:val="en-US"/>
        </w:rPr>
      </w:pPr>
      <w:r w:rsidRPr="00253D79">
        <w:rPr>
          <w:b/>
          <w:bCs/>
          <w:sz w:val="22"/>
          <w:szCs w:val="22"/>
          <w:lang w:val="en-US"/>
        </w:rPr>
        <w:t xml:space="preserve">What is the Lawyer’s Role in Preparing </w:t>
      </w:r>
      <w:r w:rsidR="00961E55">
        <w:rPr>
          <w:b/>
          <w:bCs/>
          <w:sz w:val="22"/>
          <w:szCs w:val="22"/>
          <w:lang w:val="en-US"/>
        </w:rPr>
        <w:t>Earnings</w:t>
      </w:r>
      <w:r w:rsidRPr="00253D79">
        <w:rPr>
          <w:b/>
          <w:bCs/>
          <w:sz w:val="22"/>
          <w:szCs w:val="22"/>
          <w:lang w:val="en-US"/>
        </w:rPr>
        <w:t xml:space="preserve"> Projections</w:t>
      </w:r>
    </w:p>
    <w:p w14:paraId="43DC0623" w14:textId="2856AC5D" w:rsidR="005037B6" w:rsidRDefault="00253D79" w:rsidP="00212691">
      <w:pPr>
        <w:spacing w:line="276" w:lineRule="auto"/>
        <w:rPr>
          <w:sz w:val="22"/>
          <w:szCs w:val="22"/>
          <w:lang w:val="en-US"/>
        </w:rPr>
      </w:pPr>
      <w:r w:rsidRPr="00C233C7">
        <w:rPr>
          <w:sz w:val="22"/>
          <w:szCs w:val="22"/>
          <w:lang w:val="en-US"/>
        </w:rPr>
        <w:lastRenderedPageBreak/>
        <w:t xml:space="preserve">It is </w:t>
      </w:r>
      <w:r>
        <w:rPr>
          <w:sz w:val="22"/>
          <w:szCs w:val="22"/>
          <w:lang w:val="en-US"/>
        </w:rPr>
        <w:t xml:space="preserve">trite to state that it is not the role of the lawyer to prepare </w:t>
      </w:r>
      <w:r w:rsidR="000B2BB4">
        <w:rPr>
          <w:sz w:val="22"/>
          <w:szCs w:val="22"/>
          <w:lang w:val="en-US"/>
        </w:rPr>
        <w:t>Earnings Projection</w:t>
      </w:r>
      <w:r>
        <w:rPr>
          <w:sz w:val="22"/>
          <w:szCs w:val="22"/>
          <w:lang w:val="en-US"/>
        </w:rPr>
        <w:t>s</w:t>
      </w:r>
      <w:r w:rsidR="00AB5F4E">
        <w:rPr>
          <w:sz w:val="22"/>
          <w:szCs w:val="22"/>
          <w:lang w:val="en-US"/>
        </w:rPr>
        <w:t>,</w:t>
      </w:r>
      <w:r>
        <w:rPr>
          <w:sz w:val="22"/>
          <w:szCs w:val="22"/>
          <w:lang w:val="en-US"/>
        </w:rPr>
        <w:t xml:space="preserve"> </w:t>
      </w:r>
      <w:r w:rsidR="00D11043">
        <w:rPr>
          <w:sz w:val="22"/>
          <w:szCs w:val="22"/>
          <w:lang w:val="en-US"/>
        </w:rPr>
        <w:t>or</w:t>
      </w:r>
      <w:r w:rsidR="00AB5F4E" w:rsidRPr="00E54159">
        <w:rPr>
          <w:i/>
          <w:iCs/>
          <w:sz w:val="22"/>
          <w:szCs w:val="22"/>
          <w:lang w:val="en-US"/>
        </w:rPr>
        <w:t xml:space="preserve"> per se</w:t>
      </w:r>
      <w:r w:rsidR="00AB5F4E">
        <w:rPr>
          <w:sz w:val="22"/>
          <w:szCs w:val="22"/>
          <w:lang w:val="en-US"/>
        </w:rPr>
        <w:t>,</w:t>
      </w:r>
      <w:r w:rsidR="00D11043">
        <w:rPr>
          <w:sz w:val="22"/>
          <w:szCs w:val="22"/>
          <w:lang w:val="en-US"/>
        </w:rPr>
        <w:t xml:space="preserve"> to determine whether the </w:t>
      </w:r>
      <w:r w:rsidR="000B2BB4">
        <w:rPr>
          <w:sz w:val="22"/>
          <w:szCs w:val="22"/>
          <w:lang w:val="en-US"/>
        </w:rPr>
        <w:t>Earnings Projection</w:t>
      </w:r>
      <w:r w:rsidR="007D2D81">
        <w:rPr>
          <w:sz w:val="22"/>
          <w:szCs w:val="22"/>
          <w:lang w:val="en-US"/>
        </w:rPr>
        <w:t>s are financially sound, are realistic.</w:t>
      </w:r>
      <w:r w:rsidR="00C2052A">
        <w:rPr>
          <w:sz w:val="22"/>
          <w:szCs w:val="22"/>
          <w:lang w:val="en-US"/>
        </w:rPr>
        <w:t xml:space="preserve"> </w:t>
      </w:r>
      <w:r w:rsidR="00EA24BF">
        <w:rPr>
          <w:sz w:val="22"/>
          <w:szCs w:val="22"/>
          <w:lang w:val="en-US"/>
        </w:rPr>
        <w:t xml:space="preserve">A lawyer’s primary </w:t>
      </w:r>
      <w:r w:rsidR="00200B79">
        <w:rPr>
          <w:sz w:val="22"/>
          <w:szCs w:val="22"/>
          <w:lang w:val="en-US"/>
        </w:rPr>
        <w:t>obligation</w:t>
      </w:r>
      <w:r w:rsidR="00EA24BF">
        <w:rPr>
          <w:sz w:val="22"/>
          <w:szCs w:val="22"/>
          <w:lang w:val="en-US"/>
        </w:rPr>
        <w:t xml:space="preserve"> is to ensure that </w:t>
      </w:r>
      <w:r w:rsidR="00127B7C">
        <w:rPr>
          <w:sz w:val="22"/>
          <w:szCs w:val="22"/>
          <w:lang w:val="en-US"/>
        </w:rPr>
        <w:t>the franchisor has complied with the requirements of section 6(3) of the Regulation being tha</w:t>
      </w:r>
      <w:r w:rsidR="006C0C16">
        <w:rPr>
          <w:sz w:val="22"/>
          <w:szCs w:val="22"/>
          <w:lang w:val="en-US"/>
        </w:rPr>
        <w:t>t</w:t>
      </w:r>
      <w:r w:rsidR="00CD63CA">
        <w:rPr>
          <w:sz w:val="22"/>
          <w:szCs w:val="22"/>
          <w:lang w:val="en-US"/>
        </w:rPr>
        <w:t xml:space="preserve"> the disclosure document contain</w:t>
      </w:r>
      <w:r w:rsidR="00E54159">
        <w:rPr>
          <w:sz w:val="22"/>
          <w:szCs w:val="22"/>
          <w:lang w:val="en-US"/>
        </w:rPr>
        <w:t>s</w:t>
      </w:r>
      <w:r w:rsidR="00CD63CA">
        <w:rPr>
          <w:sz w:val="22"/>
          <w:szCs w:val="22"/>
          <w:lang w:val="en-US"/>
        </w:rPr>
        <w:t xml:space="preserve"> statements</w:t>
      </w:r>
      <w:r w:rsidR="006C0C16">
        <w:rPr>
          <w:sz w:val="22"/>
          <w:szCs w:val="22"/>
          <w:lang w:val="en-US"/>
        </w:rPr>
        <w:t xml:space="preserve">: 1) </w:t>
      </w:r>
      <w:r w:rsidR="00127B7C" w:rsidRPr="006C0C16">
        <w:rPr>
          <w:sz w:val="22"/>
          <w:szCs w:val="22"/>
          <w:lang w:val="en-US"/>
        </w:rPr>
        <w:t xml:space="preserve">specifying the reasonable basis for the </w:t>
      </w:r>
      <w:r w:rsidR="000B2BB4">
        <w:rPr>
          <w:sz w:val="22"/>
          <w:szCs w:val="22"/>
          <w:lang w:val="en-US"/>
        </w:rPr>
        <w:t>Earnings Projection</w:t>
      </w:r>
      <w:r w:rsidR="00127B7C" w:rsidRPr="006C0C16">
        <w:rPr>
          <w:sz w:val="22"/>
          <w:szCs w:val="22"/>
          <w:lang w:val="en-US"/>
        </w:rPr>
        <w:t xml:space="preserve">; </w:t>
      </w:r>
      <w:r w:rsidR="006C0C16">
        <w:rPr>
          <w:sz w:val="22"/>
          <w:szCs w:val="22"/>
          <w:lang w:val="en-US"/>
        </w:rPr>
        <w:t xml:space="preserve">2) </w:t>
      </w:r>
      <w:r w:rsidR="00CD63CA">
        <w:rPr>
          <w:sz w:val="22"/>
          <w:szCs w:val="22"/>
          <w:lang w:val="en-US"/>
        </w:rPr>
        <w:t>as to the</w:t>
      </w:r>
      <w:r w:rsidR="006C0C16">
        <w:rPr>
          <w:sz w:val="22"/>
          <w:szCs w:val="22"/>
          <w:lang w:val="en-US"/>
        </w:rPr>
        <w:t xml:space="preserve"> </w:t>
      </w:r>
      <w:r w:rsidR="00127B7C" w:rsidRPr="00127B7C">
        <w:rPr>
          <w:sz w:val="22"/>
          <w:szCs w:val="22"/>
          <w:lang w:val="en-US"/>
        </w:rPr>
        <w:t xml:space="preserve">assumptions underlying </w:t>
      </w:r>
      <w:r w:rsidR="0042542A">
        <w:rPr>
          <w:sz w:val="22"/>
          <w:szCs w:val="22"/>
          <w:lang w:val="en-US"/>
        </w:rPr>
        <w:t xml:space="preserve">the </w:t>
      </w:r>
      <w:r w:rsidR="000B2BB4">
        <w:rPr>
          <w:sz w:val="22"/>
          <w:szCs w:val="22"/>
          <w:lang w:val="en-US"/>
        </w:rPr>
        <w:t>Earnings Projection</w:t>
      </w:r>
      <w:r w:rsidR="00127B7C" w:rsidRPr="00127B7C">
        <w:rPr>
          <w:sz w:val="22"/>
          <w:szCs w:val="22"/>
          <w:lang w:val="en-US"/>
        </w:rPr>
        <w:t>; and</w:t>
      </w:r>
      <w:r w:rsidR="00D35FFE">
        <w:rPr>
          <w:sz w:val="22"/>
          <w:szCs w:val="22"/>
          <w:lang w:val="en-US"/>
        </w:rPr>
        <w:t xml:space="preserve"> 3) identifying </w:t>
      </w:r>
      <w:r w:rsidR="00127B7C" w:rsidRPr="00127B7C">
        <w:rPr>
          <w:sz w:val="22"/>
          <w:szCs w:val="22"/>
          <w:lang w:val="en-US"/>
        </w:rPr>
        <w:t xml:space="preserve">a location where substantiating information is available for inspection of the </w:t>
      </w:r>
      <w:r w:rsidR="000B2BB4">
        <w:rPr>
          <w:sz w:val="22"/>
          <w:szCs w:val="22"/>
          <w:lang w:val="en-US"/>
        </w:rPr>
        <w:t>Earnings Projection</w:t>
      </w:r>
      <w:r w:rsidR="00127B7C" w:rsidRPr="00127B7C">
        <w:rPr>
          <w:sz w:val="22"/>
          <w:szCs w:val="22"/>
          <w:lang w:val="en-US"/>
        </w:rPr>
        <w:t>.</w:t>
      </w:r>
      <w:r w:rsidR="00C2052A">
        <w:rPr>
          <w:sz w:val="22"/>
          <w:szCs w:val="22"/>
          <w:lang w:val="en-US"/>
        </w:rPr>
        <w:t xml:space="preserve"> </w:t>
      </w:r>
      <w:r w:rsidR="00B05ADA">
        <w:rPr>
          <w:sz w:val="22"/>
          <w:szCs w:val="22"/>
          <w:lang w:val="en-US"/>
        </w:rPr>
        <w:t xml:space="preserve"> </w:t>
      </w:r>
    </w:p>
    <w:p w14:paraId="0C43513F" w14:textId="6E01C58F" w:rsidR="00B05ADA" w:rsidRDefault="00200B79" w:rsidP="00212691">
      <w:pPr>
        <w:spacing w:line="276" w:lineRule="auto"/>
        <w:rPr>
          <w:sz w:val="22"/>
          <w:szCs w:val="22"/>
          <w:lang w:val="en-US"/>
        </w:rPr>
      </w:pPr>
      <w:r>
        <w:rPr>
          <w:sz w:val="22"/>
          <w:szCs w:val="22"/>
          <w:lang w:val="en-US"/>
        </w:rPr>
        <w:t>The forego</w:t>
      </w:r>
      <w:r w:rsidR="005037B6">
        <w:rPr>
          <w:sz w:val="22"/>
          <w:szCs w:val="22"/>
          <w:lang w:val="en-US"/>
        </w:rPr>
        <w:t>ing raises the following issues from the perspective of the lawyer:</w:t>
      </w:r>
    </w:p>
    <w:p w14:paraId="1D16CD7F" w14:textId="561E4E0D" w:rsidR="00200B79" w:rsidRDefault="005037B6" w:rsidP="00212691">
      <w:pPr>
        <w:pStyle w:val="ListParagraph"/>
        <w:numPr>
          <w:ilvl w:val="0"/>
          <w:numId w:val="24"/>
        </w:numPr>
        <w:spacing w:line="276" w:lineRule="auto"/>
        <w:ind w:hanging="720"/>
        <w:rPr>
          <w:sz w:val="22"/>
          <w:szCs w:val="22"/>
          <w:lang w:val="en-US"/>
        </w:rPr>
      </w:pPr>
      <w:r>
        <w:rPr>
          <w:sz w:val="22"/>
          <w:szCs w:val="22"/>
          <w:lang w:val="en-US"/>
        </w:rPr>
        <w:t xml:space="preserve">If the </w:t>
      </w:r>
      <w:r w:rsidR="000679C4">
        <w:rPr>
          <w:sz w:val="22"/>
          <w:szCs w:val="22"/>
          <w:lang w:val="en-US"/>
        </w:rPr>
        <w:t>franchisor provides statements specify</w:t>
      </w:r>
      <w:r w:rsidR="00247AE3">
        <w:rPr>
          <w:sz w:val="22"/>
          <w:szCs w:val="22"/>
          <w:lang w:val="en-US"/>
        </w:rPr>
        <w:t>ing</w:t>
      </w:r>
      <w:r w:rsidR="000679C4">
        <w:rPr>
          <w:sz w:val="22"/>
          <w:szCs w:val="22"/>
          <w:lang w:val="en-US"/>
        </w:rPr>
        <w:t xml:space="preserve"> the</w:t>
      </w:r>
      <w:r w:rsidR="00C81B24">
        <w:rPr>
          <w:sz w:val="22"/>
          <w:szCs w:val="22"/>
          <w:lang w:val="en-US"/>
        </w:rPr>
        <w:t xml:space="preserve"> reasonable</w:t>
      </w:r>
      <w:r w:rsidR="000679C4">
        <w:rPr>
          <w:sz w:val="22"/>
          <w:szCs w:val="22"/>
          <w:lang w:val="en-US"/>
        </w:rPr>
        <w:t xml:space="preserve"> basis for the </w:t>
      </w:r>
      <w:r w:rsidR="000B2BB4">
        <w:rPr>
          <w:sz w:val="22"/>
          <w:szCs w:val="22"/>
          <w:lang w:val="en-US"/>
        </w:rPr>
        <w:t>Earnings Projection</w:t>
      </w:r>
      <w:r w:rsidR="000679C4">
        <w:rPr>
          <w:sz w:val="22"/>
          <w:szCs w:val="22"/>
          <w:lang w:val="en-US"/>
        </w:rPr>
        <w:t>s, is it the lawyer</w:t>
      </w:r>
      <w:r w:rsidR="00E54159">
        <w:rPr>
          <w:sz w:val="22"/>
          <w:szCs w:val="22"/>
          <w:lang w:val="en-US"/>
        </w:rPr>
        <w:t>’</w:t>
      </w:r>
      <w:r w:rsidR="000679C4">
        <w:rPr>
          <w:sz w:val="22"/>
          <w:szCs w:val="22"/>
          <w:lang w:val="en-US"/>
        </w:rPr>
        <w:t>s obligatio</w:t>
      </w:r>
      <w:r w:rsidR="00B46B3C">
        <w:rPr>
          <w:sz w:val="22"/>
          <w:szCs w:val="22"/>
          <w:lang w:val="en-US"/>
        </w:rPr>
        <w:t xml:space="preserve">n </w:t>
      </w:r>
      <w:r w:rsidR="003B02C9">
        <w:rPr>
          <w:sz w:val="22"/>
          <w:szCs w:val="22"/>
          <w:lang w:val="en-US"/>
        </w:rPr>
        <w:t xml:space="preserve">to assess whether the statements in fact </w:t>
      </w:r>
      <w:r w:rsidR="000A05D6">
        <w:rPr>
          <w:sz w:val="22"/>
          <w:szCs w:val="22"/>
          <w:lang w:val="en-US"/>
        </w:rPr>
        <w:t xml:space="preserve">specify a </w:t>
      </w:r>
      <w:r w:rsidR="003B02C9">
        <w:rPr>
          <w:sz w:val="22"/>
          <w:szCs w:val="22"/>
          <w:lang w:val="en-US"/>
        </w:rPr>
        <w:t>reasonable basis?</w:t>
      </w:r>
    </w:p>
    <w:p w14:paraId="5C092A6D" w14:textId="77777777" w:rsidR="003B02C9" w:rsidRDefault="003B02C9" w:rsidP="00212691">
      <w:pPr>
        <w:pStyle w:val="ListParagraph"/>
        <w:spacing w:line="276" w:lineRule="auto"/>
        <w:rPr>
          <w:sz w:val="22"/>
          <w:szCs w:val="22"/>
          <w:lang w:val="en-US"/>
        </w:rPr>
      </w:pPr>
    </w:p>
    <w:p w14:paraId="4AD1186F" w14:textId="38007A37" w:rsidR="003B02C9" w:rsidRDefault="006133EF" w:rsidP="00212691">
      <w:pPr>
        <w:pStyle w:val="ListParagraph"/>
        <w:numPr>
          <w:ilvl w:val="0"/>
          <w:numId w:val="24"/>
        </w:numPr>
        <w:spacing w:line="276" w:lineRule="auto"/>
        <w:ind w:hanging="720"/>
        <w:rPr>
          <w:sz w:val="22"/>
          <w:szCs w:val="22"/>
          <w:lang w:val="en-US"/>
        </w:rPr>
      </w:pPr>
      <w:r>
        <w:rPr>
          <w:sz w:val="22"/>
          <w:szCs w:val="22"/>
          <w:lang w:val="en-US"/>
        </w:rPr>
        <w:t>If the franchisor provides assumptions</w:t>
      </w:r>
      <w:r w:rsidR="008A3670">
        <w:rPr>
          <w:sz w:val="22"/>
          <w:szCs w:val="22"/>
          <w:lang w:val="en-US"/>
        </w:rPr>
        <w:t xml:space="preserve"> </w:t>
      </w:r>
      <w:r>
        <w:rPr>
          <w:sz w:val="22"/>
          <w:szCs w:val="22"/>
          <w:lang w:val="en-US"/>
        </w:rPr>
        <w:t xml:space="preserve">for the </w:t>
      </w:r>
      <w:r w:rsidR="000B2BB4">
        <w:rPr>
          <w:sz w:val="22"/>
          <w:szCs w:val="22"/>
          <w:lang w:val="en-US"/>
        </w:rPr>
        <w:t>Earnings Projection</w:t>
      </w:r>
      <w:r>
        <w:rPr>
          <w:sz w:val="22"/>
          <w:szCs w:val="22"/>
          <w:lang w:val="en-US"/>
        </w:rPr>
        <w:t>s, is it the lawyer</w:t>
      </w:r>
      <w:r w:rsidR="00C2052A">
        <w:rPr>
          <w:sz w:val="22"/>
          <w:szCs w:val="22"/>
          <w:lang w:val="en-US"/>
        </w:rPr>
        <w:t>’</w:t>
      </w:r>
      <w:r>
        <w:rPr>
          <w:sz w:val="22"/>
          <w:szCs w:val="22"/>
          <w:lang w:val="en-US"/>
        </w:rPr>
        <w:t xml:space="preserve">s obligation to assess whether the </w:t>
      </w:r>
      <w:r w:rsidR="008A3670">
        <w:rPr>
          <w:sz w:val="22"/>
          <w:szCs w:val="22"/>
          <w:lang w:val="en-US"/>
        </w:rPr>
        <w:t>assumptions</w:t>
      </w:r>
      <w:r>
        <w:rPr>
          <w:sz w:val="22"/>
          <w:szCs w:val="22"/>
          <w:lang w:val="en-US"/>
        </w:rPr>
        <w:t xml:space="preserve"> </w:t>
      </w:r>
      <w:r w:rsidR="008A3670">
        <w:rPr>
          <w:sz w:val="22"/>
          <w:szCs w:val="22"/>
          <w:lang w:val="en-US"/>
        </w:rPr>
        <w:t>are reasonable</w:t>
      </w:r>
      <w:r>
        <w:rPr>
          <w:sz w:val="22"/>
          <w:szCs w:val="22"/>
          <w:lang w:val="en-US"/>
        </w:rPr>
        <w:t>?</w:t>
      </w:r>
    </w:p>
    <w:p w14:paraId="23E6FC73" w14:textId="77777777" w:rsidR="008A3670" w:rsidRPr="008A3670" w:rsidRDefault="008A3670" w:rsidP="006A2E2E">
      <w:pPr>
        <w:pStyle w:val="ListParagraph"/>
        <w:spacing w:line="276" w:lineRule="auto"/>
        <w:rPr>
          <w:sz w:val="22"/>
          <w:szCs w:val="22"/>
          <w:lang w:val="en-US"/>
        </w:rPr>
      </w:pPr>
    </w:p>
    <w:p w14:paraId="3AB8AD37" w14:textId="69298F08" w:rsidR="001B2606" w:rsidRPr="001B2606" w:rsidRDefault="007D08E1" w:rsidP="00212691">
      <w:pPr>
        <w:pStyle w:val="ListParagraph"/>
        <w:numPr>
          <w:ilvl w:val="0"/>
          <w:numId w:val="24"/>
        </w:numPr>
        <w:spacing w:line="276" w:lineRule="auto"/>
        <w:ind w:hanging="720"/>
        <w:rPr>
          <w:sz w:val="22"/>
          <w:szCs w:val="22"/>
          <w:lang w:val="en-US"/>
        </w:rPr>
      </w:pPr>
      <w:r>
        <w:rPr>
          <w:sz w:val="22"/>
          <w:szCs w:val="22"/>
          <w:lang w:val="en-US"/>
        </w:rPr>
        <w:t xml:space="preserve">That the </w:t>
      </w:r>
      <w:r w:rsidR="009C140A">
        <w:rPr>
          <w:sz w:val="22"/>
          <w:szCs w:val="22"/>
          <w:lang w:val="en-US"/>
        </w:rPr>
        <w:t xml:space="preserve">information substantiating the </w:t>
      </w:r>
      <w:r w:rsidR="000B2BB4">
        <w:rPr>
          <w:sz w:val="22"/>
          <w:szCs w:val="22"/>
          <w:lang w:val="en-US"/>
        </w:rPr>
        <w:t>Earnings Projection</w:t>
      </w:r>
      <w:r w:rsidR="009C140A">
        <w:rPr>
          <w:sz w:val="22"/>
          <w:szCs w:val="22"/>
          <w:lang w:val="en-US"/>
        </w:rPr>
        <w:t xml:space="preserve">s is </w:t>
      </w:r>
      <w:proofErr w:type="gramStart"/>
      <w:r w:rsidR="009C140A">
        <w:rPr>
          <w:sz w:val="22"/>
          <w:szCs w:val="22"/>
          <w:lang w:val="en-US"/>
        </w:rPr>
        <w:t>actually at</w:t>
      </w:r>
      <w:proofErr w:type="gramEnd"/>
      <w:r w:rsidR="009C140A">
        <w:rPr>
          <w:sz w:val="22"/>
          <w:szCs w:val="22"/>
          <w:lang w:val="en-US"/>
        </w:rPr>
        <w:t xml:space="preserve"> the location identified.</w:t>
      </w:r>
      <w:r w:rsidR="00C2052A">
        <w:rPr>
          <w:sz w:val="22"/>
          <w:szCs w:val="22"/>
          <w:lang w:val="en-US"/>
        </w:rPr>
        <w:t xml:space="preserve"> </w:t>
      </w:r>
    </w:p>
    <w:p w14:paraId="198273C2" w14:textId="5419E8B6" w:rsidR="001B2606" w:rsidRPr="001B2606" w:rsidRDefault="001B2606" w:rsidP="00212691">
      <w:pPr>
        <w:spacing w:line="276" w:lineRule="auto"/>
        <w:rPr>
          <w:b/>
          <w:bCs/>
          <w:i/>
          <w:iCs/>
          <w:sz w:val="22"/>
          <w:szCs w:val="22"/>
          <w:lang w:val="en-US"/>
        </w:rPr>
      </w:pPr>
      <w:r>
        <w:rPr>
          <w:b/>
          <w:bCs/>
          <w:i/>
          <w:iCs/>
          <w:sz w:val="22"/>
          <w:szCs w:val="22"/>
          <w:lang w:val="en-US"/>
        </w:rPr>
        <w:t>The Rules of Professional Conduct</w:t>
      </w:r>
    </w:p>
    <w:p w14:paraId="1ABDB7DE" w14:textId="77066B22" w:rsidR="00255363" w:rsidRDefault="009B03BD" w:rsidP="00212691">
      <w:pPr>
        <w:spacing w:line="276" w:lineRule="auto"/>
        <w:rPr>
          <w:sz w:val="22"/>
          <w:szCs w:val="22"/>
          <w:lang w:val="en-US"/>
        </w:rPr>
      </w:pPr>
      <w:r w:rsidRPr="009B03BD">
        <w:rPr>
          <w:sz w:val="22"/>
          <w:szCs w:val="22"/>
          <w:lang w:val="en-US"/>
        </w:rPr>
        <w:t xml:space="preserve">The Rules of Professional Conduct of the Law Society of </w:t>
      </w:r>
      <w:r w:rsidR="001B2606">
        <w:rPr>
          <w:sz w:val="22"/>
          <w:szCs w:val="22"/>
          <w:lang w:val="en-US"/>
        </w:rPr>
        <w:t>Ontario</w:t>
      </w:r>
      <w:r w:rsidRPr="009B03BD">
        <w:rPr>
          <w:sz w:val="22"/>
          <w:szCs w:val="22"/>
          <w:lang w:val="en-US"/>
        </w:rPr>
        <w:t xml:space="preserve"> </w:t>
      </w:r>
      <w:r w:rsidR="001D5927">
        <w:rPr>
          <w:sz w:val="22"/>
          <w:szCs w:val="22"/>
          <w:lang w:val="en-US"/>
        </w:rPr>
        <w:t>(the “</w:t>
      </w:r>
      <w:r w:rsidR="001D5927" w:rsidRPr="001D5927">
        <w:rPr>
          <w:b/>
          <w:bCs/>
          <w:sz w:val="22"/>
          <w:szCs w:val="22"/>
          <w:lang w:val="en-US"/>
        </w:rPr>
        <w:t>Rules</w:t>
      </w:r>
      <w:r w:rsidR="001D5927">
        <w:rPr>
          <w:sz w:val="22"/>
          <w:szCs w:val="22"/>
          <w:lang w:val="en-US"/>
        </w:rPr>
        <w:t xml:space="preserve">”) </w:t>
      </w:r>
      <w:r w:rsidRPr="009B03BD">
        <w:rPr>
          <w:sz w:val="22"/>
          <w:szCs w:val="22"/>
          <w:lang w:val="en-US"/>
        </w:rPr>
        <w:t>inclu</w:t>
      </w:r>
      <w:r w:rsidR="00C83058">
        <w:rPr>
          <w:sz w:val="22"/>
          <w:szCs w:val="22"/>
          <w:lang w:val="en-US"/>
        </w:rPr>
        <w:t>de</w:t>
      </w:r>
      <w:r w:rsidRPr="009B03BD">
        <w:rPr>
          <w:sz w:val="22"/>
          <w:szCs w:val="22"/>
          <w:lang w:val="en-US"/>
        </w:rPr>
        <w:t xml:space="preserve"> the word “knowledge”</w:t>
      </w:r>
      <w:r w:rsidR="00C83058">
        <w:rPr>
          <w:sz w:val="22"/>
          <w:szCs w:val="22"/>
          <w:lang w:val="en-US"/>
        </w:rPr>
        <w:t xml:space="preserve"> (amendment 2014)</w:t>
      </w:r>
      <w:r w:rsidRPr="009B03BD">
        <w:rPr>
          <w:sz w:val="22"/>
          <w:szCs w:val="22"/>
          <w:lang w:val="en-US"/>
        </w:rPr>
        <w:t xml:space="preserve"> in the definition of “competent lawyer”.</w:t>
      </w:r>
      <w:r w:rsidR="00C2052A">
        <w:rPr>
          <w:sz w:val="22"/>
          <w:szCs w:val="22"/>
          <w:lang w:val="en-US"/>
        </w:rPr>
        <w:t xml:space="preserve"> </w:t>
      </w:r>
      <w:r w:rsidRPr="009B03BD">
        <w:rPr>
          <w:sz w:val="22"/>
          <w:szCs w:val="22"/>
          <w:lang w:val="en-US"/>
        </w:rPr>
        <w:t>Rule 3.1-2 provides that</w:t>
      </w:r>
      <w:r w:rsidR="00255363">
        <w:rPr>
          <w:sz w:val="22"/>
          <w:szCs w:val="22"/>
          <w:lang w:val="en-US"/>
        </w:rPr>
        <w:t>:</w:t>
      </w:r>
      <w:r w:rsidRPr="009B03BD">
        <w:rPr>
          <w:sz w:val="22"/>
          <w:szCs w:val="22"/>
          <w:lang w:val="en-US"/>
        </w:rPr>
        <w:t xml:space="preserve"> </w:t>
      </w:r>
    </w:p>
    <w:p w14:paraId="0DF26ECE" w14:textId="23E0F045" w:rsidR="00255363" w:rsidRDefault="00255363" w:rsidP="00212691">
      <w:pPr>
        <w:spacing w:line="276" w:lineRule="auto"/>
        <w:ind w:left="720"/>
        <w:rPr>
          <w:sz w:val="22"/>
          <w:szCs w:val="22"/>
          <w:lang w:val="en-US"/>
        </w:rPr>
      </w:pPr>
      <w:r>
        <w:rPr>
          <w:sz w:val="22"/>
          <w:szCs w:val="22"/>
          <w:lang w:val="en-US"/>
        </w:rPr>
        <w:t xml:space="preserve">A </w:t>
      </w:r>
      <w:r w:rsidR="009B03BD" w:rsidRPr="009B03BD">
        <w:rPr>
          <w:sz w:val="22"/>
          <w:szCs w:val="22"/>
          <w:lang w:val="en-US"/>
        </w:rPr>
        <w:t>lawyer shall perform any legal services undertaken on a client’s behalf to the standard of a competent lawyer.</w:t>
      </w:r>
      <w:r w:rsidR="00C2052A">
        <w:rPr>
          <w:sz w:val="22"/>
          <w:szCs w:val="22"/>
          <w:lang w:val="en-US"/>
        </w:rPr>
        <w:t xml:space="preserve"> </w:t>
      </w:r>
    </w:p>
    <w:p w14:paraId="172394E2" w14:textId="4869D4DF" w:rsidR="009B03BD" w:rsidRPr="009B03BD" w:rsidRDefault="009B03BD" w:rsidP="00212691">
      <w:pPr>
        <w:spacing w:line="276" w:lineRule="auto"/>
        <w:rPr>
          <w:sz w:val="22"/>
          <w:szCs w:val="22"/>
          <w:lang w:val="en-US"/>
        </w:rPr>
      </w:pPr>
      <w:r w:rsidRPr="009B03BD">
        <w:rPr>
          <w:sz w:val="22"/>
          <w:szCs w:val="22"/>
          <w:lang w:val="en-US"/>
        </w:rPr>
        <w:t xml:space="preserve">The commentary to this Rule, set out below, emphasizes that a lawyer has an obligation to be knowledgeable in area of law in which </w:t>
      </w:r>
      <w:r w:rsidR="001D5927">
        <w:rPr>
          <w:sz w:val="22"/>
          <w:szCs w:val="22"/>
          <w:lang w:val="en-US"/>
        </w:rPr>
        <w:t xml:space="preserve">the lawyer </w:t>
      </w:r>
      <w:r w:rsidRPr="009B03BD">
        <w:rPr>
          <w:sz w:val="22"/>
          <w:szCs w:val="22"/>
          <w:lang w:val="en-US"/>
        </w:rPr>
        <w:t xml:space="preserve">practices and that the lawyer </w:t>
      </w:r>
      <w:r w:rsidR="002162A5" w:rsidRPr="009B03BD">
        <w:rPr>
          <w:sz w:val="22"/>
          <w:szCs w:val="22"/>
          <w:lang w:val="en-US"/>
        </w:rPr>
        <w:t>keeps</w:t>
      </w:r>
      <w:r w:rsidRPr="009B03BD">
        <w:rPr>
          <w:sz w:val="22"/>
          <w:szCs w:val="22"/>
          <w:lang w:val="en-US"/>
        </w:rPr>
        <w:t xml:space="preserve"> abreast of developments in these areas</w:t>
      </w:r>
    </w:p>
    <w:p w14:paraId="752231CE" w14:textId="61047128" w:rsidR="009B03BD" w:rsidRPr="009B03BD" w:rsidRDefault="00897EC8" w:rsidP="00212691">
      <w:pPr>
        <w:spacing w:line="276" w:lineRule="auto"/>
        <w:ind w:left="720"/>
        <w:rPr>
          <w:sz w:val="22"/>
          <w:szCs w:val="22"/>
          <w:lang w:val="en-US"/>
        </w:rPr>
      </w:pPr>
      <w:r>
        <w:rPr>
          <w:sz w:val="22"/>
          <w:szCs w:val="22"/>
          <w:lang w:val="en-US"/>
        </w:rPr>
        <w:t xml:space="preserve">[2] </w:t>
      </w:r>
      <w:r w:rsidR="009B03BD" w:rsidRPr="009B03BD">
        <w:rPr>
          <w:sz w:val="22"/>
          <w:szCs w:val="22"/>
          <w:lang w:val="en-US"/>
        </w:rPr>
        <w:t xml:space="preserve">Competence is founded upon both ethical and legal principles. This rule addresses the ethical principles. </w:t>
      </w:r>
      <w:r w:rsidR="009B03BD" w:rsidRPr="001D5927">
        <w:rPr>
          <w:sz w:val="22"/>
          <w:szCs w:val="22"/>
          <w:u w:val="single"/>
          <w:lang w:val="en-US"/>
        </w:rPr>
        <w:t>Competence involves more than an understanding of legal principles; it involves an adequate knowledge of the practice and procedures by which such principles can be effectively applied.</w:t>
      </w:r>
      <w:r w:rsidR="009B03BD" w:rsidRPr="009B03BD">
        <w:rPr>
          <w:sz w:val="22"/>
          <w:szCs w:val="22"/>
          <w:lang w:val="en-US"/>
        </w:rPr>
        <w:t xml:space="preserve"> To accomplish this, the lawyer should keep abreast of developments in all areas of law in which the lawyer practi</w:t>
      </w:r>
      <w:r>
        <w:rPr>
          <w:sz w:val="22"/>
          <w:szCs w:val="22"/>
          <w:lang w:val="en-US"/>
        </w:rPr>
        <w:t>c</w:t>
      </w:r>
      <w:r w:rsidR="009B03BD" w:rsidRPr="009B03BD">
        <w:rPr>
          <w:sz w:val="22"/>
          <w:szCs w:val="22"/>
          <w:lang w:val="en-US"/>
        </w:rPr>
        <w:t xml:space="preserve">es. </w:t>
      </w:r>
      <w:r w:rsidR="001D5927">
        <w:rPr>
          <w:sz w:val="22"/>
          <w:szCs w:val="22"/>
          <w:lang w:val="en-US"/>
        </w:rPr>
        <w:t>(emphasis added)</w:t>
      </w:r>
    </w:p>
    <w:p w14:paraId="24287C38" w14:textId="3F94C818" w:rsidR="009B03BD" w:rsidRPr="009B03BD" w:rsidRDefault="009B03BD" w:rsidP="00212691">
      <w:pPr>
        <w:spacing w:line="276" w:lineRule="auto"/>
        <w:ind w:left="720"/>
        <w:rPr>
          <w:sz w:val="22"/>
          <w:szCs w:val="22"/>
          <w:lang w:val="en-US"/>
        </w:rPr>
      </w:pPr>
      <w:r w:rsidRPr="009B03BD">
        <w:rPr>
          <w:sz w:val="22"/>
          <w:szCs w:val="22"/>
          <w:lang w:val="en-US"/>
        </w:rPr>
        <w:t xml:space="preserve">[3] In deciding whether the lawyer has employed the requisite degree of </w:t>
      </w:r>
      <w:r w:rsidRPr="001D5927">
        <w:rPr>
          <w:sz w:val="22"/>
          <w:szCs w:val="22"/>
          <w:u w:val="single"/>
          <w:lang w:val="en-US"/>
        </w:rPr>
        <w:t>knowledge</w:t>
      </w:r>
      <w:r w:rsidRPr="009B03BD">
        <w:rPr>
          <w:sz w:val="22"/>
          <w:szCs w:val="22"/>
          <w:lang w:val="en-US"/>
        </w:rPr>
        <w:t xml:space="preserve"> and skill in a particular matter, relevant factors will include</w:t>
      </w:r>
      <w:r w:rsidR="001D5927">
        <w:rPr>
          <w:sz w:val="22"/>
          <w:szCs w:val="22"/>
          <w:lang w:val="en-US"/>
        </w:rPr>
        <w:t>: (emphasis added)</w:t>
      </w:r>
    </w:p>
    <w:p w14:paraId="40323FD8" w14:textId="494207F7" w:rsidR="009B03BD" w:rsidRPr="009B03BD" w:rsidRDefault="009B03BD" w:rsidP="00212691">
      <w:pPr>
        <w:spacing w:line="276" w:lineRule="auto"/>
        <w:ind w:left="1440" w:hanging="720"/>
        <w:rPr>
          <w:sz w:val="22"/>
          <w:szCs w:val="22"/>
          <w:lang w:val="en-US"/>
        </w:rPr>
      </w:pPr>
      <w:r w:rsidRPr="009B03BD">
        <w:rPr>
          <w:sz w:val="22"/>
          <w:szCs w:val="22"/>
          <w:lang w:val="en-US"/>
        </w:rPr>
        <w:t xml:space="preserve">(a) </w:t>
      </w:r>
      <w:r w:rsidR="00897EC8">
        <w:rPr>
          <w:sz w:val="22"/>
          <w:szCs w:val="22"/>
          <w:lang w:val="en-US"/>
        </w:rPr>
        <w:tab/>
      </w:r>
      <w:r w:rsidRPr="009B03BD">
        <w:rPr>
          <w:sz w:val="22"/>
          <w:szCs w:val="22"/>
          <w:lang w:val="en-US"/>
        </w:rPr>
        <w:t xml:space="preserve">the complexity and specialized nature of the </w:t>
      </w:r>
      <w:proofErr w:type="gramStart"/>
      <w:r w:rsidRPr="009B03BD">
        <w:rPr>
          <w:sz w:val="22"/>
          <w:szCs w:val="22"/>
          <w:lang w:val="en-US"/>
        </w:rPr>
        <w:t>matter;</w:t>
      </w:r>
      <w:proofErr w:type="gramEnd"/>
      <w:r w:rsidRPr="009B03BD">
        <w:rPr>
          <w:sz w:val="22"/>
          <w:szCs w:val="22"/>
          <w:lang w:val="en-US"/>
        </w:rPr>
        <w:t xml:space="preserve"> </w:t>
      </w:r>
    </w:p>
    <w:p w14:paraId="62C81097" w14:textId="27DB3A46" w:rsidR="009B03BD" w:rsidRPr="009B03BD" w:rsidRDefault="009B03BD" w:rsidP="00212691">
      <w:pPr>
        <w:spacing w:line="276" w:lineRule="auto"/>
        <w:ind w:left="1440" w:hanging="720"/>
        <w:rPr>
          <w:sz w:val="22"/>
          <w:szCs w:val="22"/>
          <w:lang w:val="en-US"/>
        </w:rPr>
      </w:pPr>
      <w:r w:rsidRPr="009B03BD">
        <w:rPr>
          <w:sz w:val="22"/>
          <w:szCs w:val="22"/>
          <w:lang w:val="en-US"/>
        </w:rPr>
        <w:t xml:space="preserve">(b) </w:t>
      </w:r>
      <w:r w:rsidR="00897EC8">
        <w:rPr>
          <w:sz w:val="22"/>
          <w:szCs w:val="22"/>
          <w:lang w:val="en-US"/>
        </w:rPr>
        <w:tab/>
      </w:r>
      <w:r w:rsidRPr="009B03BD">
        <w:rPr>
          <w:sz w:val="22"/>
          <w:szCs w:val="22"/>
          <w:lang w:val="en-US"/>
        </w:rPr>
        <w:t xml:space="preserve">the lawyer’s general </w:t>
      </w:r>
      <w:proofErr w:type="gramStart"/>
      <w:r w:rsidRPr="009B03BD">
        <w:rPr>
          <w:sz w:val="22"/>
          <w:szCs w:val="22"/>
          <w:lang w:val="en-US"/>
        </w:rPr>
        <w:t>experience;</w:t>
      </w:r>
      <w:proofErr w:type="gramEnd"/>
      <w:r w:rsidRPr="009B03BD">
        <w:rPr>
          <w:sz w:val="22"/>
          <w:szCs w:val="22"/>
          <w:lang w:val="en-US"/>
        </w:rPr>
        <w:t xml:space="preserve"> </w:t>
      </w:r>
    </w:p>
    <w:p w14:paraId="303169DE" w14:textId="0A892957" w:rsidR="009B03BD" w:rsidRPr="009B03BD" w:rsidRDefault="009B03BD" w:rsidP="00212691">
      <w:pPr>
        <w:spacing w:line="276" w:lineRule="auto"/>
        <w:ind w:left="1440" w:hanging="720"/>
        <w:rPr>
          <w:sz w:val="22"/>
          <w:szCs w:val="22"/>
          <w:lang w:val="en-US"/>
        </w:rPr>
      </w:pPr>
      <w:r w:rsidRPr="009B03BD">
        <w:rPr>
          <w:sz w:val="22"/>
          <w:szCs w:val="22"/>
          <w:lang w:val="en-US"/>
        </w:rPr>
        <w:t xml:space="preserve">(c) </w:t>
      </w:r>
      <w:r w:rsidR="00897EC8">
        <w:rPr>
          <w:sz w:val="22"/>
          <w:szCs w:val="22"/>
          <w:lang w:val="en-US"/>
        </w:rPr>
        <w:tab/>
      </w:r>
      <w:r w:rsidRPr="009B03BD">
        <w:rPr>
          <w:sz w:val="22"/>
          <w:szCs w:val="22"/>
          <w:lang w:val="en-US"/>
        </w:rPr>
        <w:t xml:space="preserve">the lawyer’s training and experience in the </w:t>
      </w:r>
      <w:proofErr w:type="gramStart"/>
      <w:r w:rsidRPr="009B03BD">
        <w:rPr>
          <w:sz w:val="22"/>
          <w:szCs w:val="22"/>
          <w:lang w:val="en-US"/>
        </w:rPr>
        <w:t>field;</w:t>
      </w:r>
      <w:proofErr w:type="gramEnd"/>
      <w:r w:rsidRPr="009B03BD">
        <w:rPr>
          <w:sz w:val="22"/>
          <w:szCs w:val="22"/>
          <w:lang w:val="en-US"/>
        </w:rPr>
        <w:t xml:space="preserve"> </w:t>
      </w:r>
    </w:p>
    <w:p w14:paraId="72B72A89" w14:textId="50A40227" w:rsidR="009B03BD" w:rsidRPr="009B03BD" w:rsidRDefault="009B03BD" w:rsidP="00212691">
      <w:pPr>
        <w:spacing w:line="276" w:lineRule="auto"/>
        <w:ind w:left="1440" w:hanging="720"/>
        <w:rPr>
          <w:sz w:val="22"/>
          <w:szCs w:val="22"/>
          <w:lang w:val="en-US"/>
        </w:rPr>
      </w:pPr>
      <w:r w:rsidRPr="009B03BD">
        <w:rPr>
          <w:sz w:val="22"/>
          <w:szCs w:val="22"/>
          <w:lang w:val="en-US"/>
        </w:rPr>
        <w:t xml:space="preserve">(d) </w:t>
      </w:r>
      <w:r w:rsidR="00897EC8">
        <w:rPr>
          <w:sz w:val="22"/>
          <w:szCs w:val="22"/>
          <w:lang w:val="en-US"/>
        </w:rPr>
        <w:tab/>
      </w:r>
      <w:r w:rsidRPr="009B03BD">
        <w:rPr>
          <w:sz w:val="22"/>
          <w:szCs w:val="22"/>
          <w:lang w:val="en-US"/>
        </w:rPr>
        <w:t xml:space="preserve">the preparation and study the lawyer </w:t>
      </w:r>
      <w:proofErr w:type="gramStart"/>
      <w:r w:rsidRPr="009B03BD">
        <w:rPr>
          <w:sz w:val="22"/>
          <w:szCs w:val="22"/>
          <w:lang w:val="en-US"/>
        </w:rPr>
        <w:t>is able to</w:t>
      </w:r>
      <w:proofErr w:type="gramEnd"/>
      <w:r w:rsidRPr="009B03BD">
        <w:rPr>
          <w:sz w:val="22"/>
          <w:szCs w:val="22"/>
          <w:lang w:val="en-US"/>
        </w:rPr>
        <w:t xml:space="preserve"> give the matter; and </w:t>
      </w:r>
    </w:p>
    <w:p w14:paraId="0E371581" w14:textId="194A36A3" w:rsidR="009B03BD" w:rsidRPr="009B03BD" w:rsidRDefault="009B03BD" w:rsidP="00212691">
      <w:pPr>
        <w:spacing w:line="276" w:lineRule="auto"/>
        <w:ind w:left="1440" w:hanging="720"/>
        <w:rPr>
          <w:sz w:val="22"/>
          <w:szCs w:val="22"/>
          <w:lang w:val="en-US"/>
        </w:rPr>
      </w:pPr>
      <w:r w:rsidRPr="009B03BD">
        <w:rPr>
          <w:sz w:val="22"/>
          <w:szCs w:val="22"/>
          <w:lang w:val="en-US"/>
        </w:rPr>
        <w:t xml:space="preserve">(e) </w:t>
      </w:r>
      <w:r w:rsidR="00897EC8">
        <w:rPr>
          <w:sz w:val="22"/>
          <w:szCs w:val="22"/>
          <w:lang w:val="en-US"/>
        </w:rPr>
        <w:tab/>
      </w:r>
      <w:r w:rsidRPr="009B03BD">
        <w:rPr>
          <w:sz w:val="22"/>
          <w:szCs w:val="22"/>
          <w:lang w:val="en-US"/>
        </w:rPr>
        <w:t xml:space="preserve">whether it is appropriate or feasible to refer the matter to, or associate or consult with, a licensee of established competence in the field in question. </w:t>
      </w:r>
    </w:p>
    <w:p w14:paraId="7240C177" w14:textId="77777777" w:rsidR="009B03BD" w:rsidRPr="009B03BD" w:rsidRDefault="009B03BD" w:rsidP="00212691">
      <w:pPr>
        <w:spacing w:line="276" w:lineRule="auto"/>
        <w:ind w:left="720"/>
        <w:rPr>
          <w:sz w:val="22"/>
          <w:szCs w:val="22"/>
          <w:lang w:val="en-US"/>
        </w:rPr>
      </w:pPr>
      <w:r w:rsidRPr="009B03BD">
        <w:rPr>
          <w:sz w:val="22"/>
          <w:szCs w:val="22"/>
          <w:lang w:val="en-US"/>
        </w:rPr>
        <w:lastRenderedPageBreak/>
        <w:t>[4] In some circumstances, expertise in a particular field of law may be required; often the necessary degree of proficiency will be that of the general practitioner.</w:t>
      </w:r>
    </w:p>
    <w:p w14:paraId="3FEF748B" w14:textId="52710584" w:rsidR="009B03BD" w:rsidRPr="009B03BD" w:rsidRDefault="009B03BD" w:rsidP="00212691">
      <w:pPr>
        <w:spacing w:line="276" w:lineRule="auto"/>
        <w:ind w:left="720"/>
        <w:rPr>
          <w:sz w:val="22"/>
          <w:szCs w:val="22"/>
          <w:lang w:val="en-US"/>
        </w:rPr>
      </w:pPr>
      <w:r w:rsidRPr="009B03BD">
        <w:rPr>
          <w:sz w:val="22"/>
          <w:szCs w:val="22"/>
          <w:lang w:val="en-US"/>
        </w:rPr>
        <w:t>[5] A lawyer should not undertake a matter without honestly feeling competent to handle it, or being able to become competent without undue delay, risk, or expense to the client. This is an ethical consideration and is distinct from the standard of care that a tribunal would invoke for purposes of determining negligence.</w:t>
      </w:r>
    </w:p>
    <w:p w14:paraId="3963D9FF" w14:textId="5391CF0B" w:rsidR="00A141CB" w:rsidRDefault="009B03BD" w:rsidP="00212691">
      <w:pPr>
        <w:spacing w:line="276" w:lineRule="auto"/>
        <w:rPr>
          <w:sz w:val="22"/>
          <w:szCs w:val="22"/>
          <w:lang w:val="en-US"/>
        </w:rPr>
      </w:pPr>
      <w:r w:rsidRPr="009B03BD">
        <w:rPr>
          <w:sz w:val="22"/>
          <w:szCs w:val="22"/>
          <w:lang w:val="en-US"/>
        </w:rPr>
        <w:t>Lawyers at times engage in areas of practice for which they do not have sufficient expertise or knowledge.</w:t>
      </w:r>
      <w:r w:rsidR="00C2052A">
        <w:rPr>
          <w:sz w:val="22"/>
          <w:szCs w:val="22"/>
          <w:lang w:val="en-US"/>
        </w:rPr>
        <w:t xml:space="preserve"> </w:t>
      </w:r>
      <w:r w:rsidRPr="009B03BD">
        <w:rPr>
          <w:sz w:val="22"/>
          <w:szCs w:val="22"/>
          <w:lang w:val="en-US"/>
        </w:rPr>
        <w:t xml:space="preserve">If, </w:t>
      </w:r>
      <w:proofErr w:type="gramStart"/>
      <w:r w:rsidRPr="009B03BD">
        <w:rPr>
          <w:sz w:val="22"/>
          <w:szCs w:val="22"/>
          <w:lang w:val="en-US"/>
        </w:rPr>
        <w:t>as a result of</w:t>
      </w:r>
      <w:proofErr w:type="gramEnd"/>
      <w:r w:rsidRPr="009B03BD">
        <w:rPr>
          <w:sz w:val="22"/>
          <w:szCs w:val="22"/>
          <w:lang w:val="en-US"/>
        </w:rPr>
        <w:t xml:space="preserve"> that lack of expertise or </w:t>
      </w:r>
      <w:r w:rsidR="00096344" w:rsidRPr="009B03BD">
        <w:rPr>
          <w:sz w:val="22"/>
          <w:szCs w:val="22"/>
          <w:lang w:val="en-US"/>
        </w:rPr>
        <w:t>knowledge,</w:t>
      </w:r>
      <w:r w:rsidRPr="009B03BD">
        <w:rPr>
          <w:sz w:val="22"/>
          <w:szCs w:val="22"/>
          <w:lang w:val="en-US"/>
        </w:rPr>
        <w:t xml:space="preserve"> their client suffers damages, the lawyer may be found negligent and thus liable for the </w:t>
      </w:r>
      <w:r w:rsidR="00096344" w:rsidRPr="009B03BD">
        <w:rPr>
          <w:sz w:val="22"/>
          <w:szCs w:val="22"/>
          <w:lang w:val="en-US"/>
        </w:rPr>
        <w:t>damage</w:t>
      </w:r>
      <w:r w:rsidR="00096344">
        <w:rPr>
          <w:sz w:val="22"/>
          <w:szCs w:val="22"/>
          <w:lang w:val="en-US"/>
        </w:rPr>
        <w:t>s</w:t>
      </w:r>
      <w:r w:rsidRPr="009B03BD">
        <w:rPr>
          <w:sz w:val="22"/>
          <w:szCs w:val="22"/>
          <w:lang w:val="en-US"/>
        </w:rPr>
        <w:t xml:space="preserve"> suffered.</w:t>
      </w:r>
      <w:r w:rsidR="00C2052A">
        <w:rPr>
          <w:sz w:val="22"/>
          <w:szCs w:val="22"/>
          <w:lang w:val="en-US"/>
        </w:rPr>
        <w:t xml:space="preserve"> </w:t>
      </w:r>
      <w:r w:rsidR="00FD59F9">
        <w:rPr>
          <w:sz w:val="22"/>
          <w:szCs w:val="22"/>
          <w:lang w:val="en-US"/>
        </w:rPr>
        <w:t>Given the foregoing, l</w:t>
      </w:r>
      <w:r w:rsidRPr="009B03BD">
        <w:rPr>
          <w:sz w:val="22"/>
          <w:szCs w:val="22"/>
          <w:lang w:val="en-US"/>
        </w:rPr>
        <w:t xml:space="preserve">awyers practicing in the area of franchise law should also have some knowledge and understanding of the franchise industry generally and beyond the strict legalities of franchise law so that they are able to assist their client with the </w:t>
      </w:r>
      <w:proofErr w:type="gramStart"/>
      <w:r w:rsidRPr="009B03BD">
        <w:rPr>
          <w:sz w:val="22"/>
          <w:szCs w:val="22"/>
          <w:lang w:val="en-US"/>
        </w:rPr>
        <w:t>myriad</w:t>
      </w:r>
      <w:proofErr w:type="gramEnd"/>
      <w:r w:rsidRPr="009B03BD">
        <w:rPr>
          <w:sz w:val="22"/>
          <w:szCs w:val="22"/>
          <w:lang w:val="en-US"/>
        </w:rPr>
        <w:t xml:space="preserve"> of issues that can arise from the ongoing franchisor-franchisee relationship</w:t>
      </w:r>
      <w:r w:rsidR="00FD59F9">
        <w:rPr>
          <w:sz w:val="22"/>
          <w:szCs w:val="22"/>
          <w:lang w:val="en-US"/>
        </w:rPr>
        <w:t xml:space="preserve">, including in the preparation of </w:t>
      </w:r>
      <w:r w:rsidR="000B2BB4">
        <w:rPr>
          <w:sz w:val="22"/>
          <w:szCs w:val="22"/>
          <w:lang w:val="en-US"/>
        </w:rPr>
        <w:t>Earnings Projection</w:t>
      </w:r>
      <w:r w:rsidR="006B4500">
        <w:rPr>
          <w:sz w:val="22"/>
          <w:szCs w:val="22"/>
          <w:lang w:val="en-US"/>
        </w:rPr>
        <w:t>s.</w:t>
      </w:r>
    </w:p>
    <w:p w14:paraId="09C8F79D" w14:textId="4F94C228" w:rsidR="00316F8E" w:rsidRDefault="001D5927" w:rsidP="00212691">
      <w:pPr>
        <w:spacing w:line="276" w:lineRule="auto"/>
        <w:rPr>
          <w:sz w:val="22"/>
          <w:szCs w:val="22"/>
          <w:lang w:val="en-US"/>
        </w:rPr>
      </w:pPr>
      <w:r>
        <w:rPr>
          <w:b/>
          <w:bCs/>
          <w:i/>
          <w:iCs/>
          <w:sz w:val="22"/>
          <w:szCs w:val="22"/>
          <w:lang w:val="en-US"/>
        </w:rPr>
        <w:t>Application of the Rules</w:t>
      </w:r>
    </w:p>
    <w:p w14:paraId="542BDFD3" w14:textId="6E83E003" w:rsidR="001D5927" w:rsidRDefault="00A87BEC" w:rsidP="00212691">
      <w:pPr>
        <w:spacing w:line="276" w:lineRule="auto"/>
        <w:rPr>
          <w:sz w:val="22"/>
          <w:szCs w:val="22"/>
          <w:lang w:val="en-US"/>
        </w:rPr>
      </w:pPr>
      <w:r>
        <w:rPr>
          <w:sz w:val="22"/>
          <w:szCs w:val="22"/>
          <w:lang w:val="en-US"/>
        </w:rPr>
        <w:t xml:space="preserve">While it is </w:t>
      </w:r>
      <w:r w:rsidR="00555919">
        <w:rPr>
          <w:sz w:val="22"/>
          <w:szCs w:val="22"/>
          <w:lang w:val="en-US"/>
        </w:rPr>
        <w:t xml:space="preserve">not the role of the lawyer to determine whether the </w:t>
      </w:r>
      <w:r w:rsidR="000B2BB4">
        <w:rPr>
          <w:sz w:val="22"/>
          <w:szCs w:val="22"/>
          <w:lang w:val="en-US"/>
        </w:rPr>
        <w:t>Earnings Projection</w:t>
      </w:r>
      <w:r w:rsidR="00555919">
        <w:rPr>
          <w:sz w:val="22"/>
          <w:szCs w:val="22"/>
          <w:lang w:val="en-US"/>
        </w:rPr>
        <w:t xml:space="preserve">s are financially sound </w:t>
      </w:r>
      <w:r w:rsidR="00E05960">
        <w:rPr>
          <w:sz w:val="22"/>
          <w:szCs w:val="22"/>
          <w:lang w:val="en-US"/>
        </w:rPr>
        <w:t xml:space="preserve">or </w:t>
      </w:r>
      <w:r w:rsidR="00555919">
        <w:rPr>
          <w:sz w:val="22"/>
          <w:szCs w:val="22"/>
          <w:lang w:val="en-US"/>
        </w:rPr>
        <w:t>are</w:t>
      </w:r>
      <w:r w:rsidR="00212691">
        <w:rPr>
          <w:sz w:val="22"/>
          <w:szCs w:val="22"/>
          <w:lang w:val="en-US"/>
        </w:rPr>
        <w:t xml:space="preserve"> </w:t>
      </w:r>
      <w:r w:rsidR="00555919">
        <w:rPr>
          <w:sz w:val="22"/>
          <w:szCs w:val="22"/>
          <w:lang w:val="en-US"/>
        </w:rPr>
        <w:t>realistic</w:t>
      </w:r>
      <w:r>
        <w:rPr>
          <w:sz w:val="22"/>
          <w:szCs w:val="22"/>
          <w:lang w:val="en-US"/>
        </w:rPr>
        <w:t xml:space="preserve">, it is open to question as to whether </w:t>
      </w:r>
      <w:r w:rsidR="000A05D6">
        <w:rPr>
          <w:sz w:val="22"/>
          <w:szCs w:val="22"/>
          <w:lang w:val="en-US"/>
        </w:rPr>
        <w:t>a lawyer needs to assess</w:t>
      </w:r>
      <w:r w:rsidR="00897F2A">
        <w:rPr>
          <w:sz w:val="22"/>
          <w:szCs w:val="22"/>
          <w:lang w:val="en-US"/>
        </w:rPr>
        <w:t xml:space="preserve"> whether</w:t>
      </w:r>
      <w:r w:rsidR="00004CB9">
        <w:rPr>
          <w:sz w:val="22"/>
          <w:szCs w:val="22"/>
          <w:lang w:val="en-US"/>
        </w:rPr>
        <w:t>:</w:t>
      </w:r>
    </w:p>
    <w:p w14:paraId="7ACFA8C8" w14:textId="328C78FC" w:rsidR="00004CB9" w:rsidRDefault="00004CB9" w:rsidP="00212691">
      <w:pPr>
        <w:pStyle w:val="ListParagraph"/>
        <w:numPr>
          <w:ilvl w:val="0"/>
          <w:numId w:val="25"/>
        </w:numPr>
        <w:spacing w:line="276" w:lineRule="auto"/>
        <w:ind w:hanging="720"/>
        <w:rPr>
          <w:sz w:val="22"/>
          <w:szCs w:val="22"/>
          <w:lang w:val="en-US"/>
        </w:rPr>
      </w:pPr>
      <w:r>
        <w:rPr>
          <w:sz w:val="22"/>
          <w:szCs w:val="22"/>
          <w:lang w:val="en-US"/>
        </w:rPr>
        <w:t xml:space="preserve">the statements made by the franchisor in fact specify a reasonable </w:t>
      </w:r>
      <w:proofErr w:type="gramStart"/>
      <w:r>
        <w:rPr>
          <w:sz w:val="22"/>
          <w:szCs w:val="22"/>
          <w:lang w:val="en-US"/>
        </w:rPr>
        <w:t>basis?</w:t>
      </w:r>
      <w:proofErr w:type="gramEnd"/>
    </w:p>
    <w:p w14:paraId="0B8B019D" w14:textId="77777777" w:rsidR="00004CB9" w:rsidRDefault="00004CB9" w:rsidP="00212691">
      <w:pPr>
        <w:pStyle w:val="ListParagraph"/>
        <w:spacing w:line="276" w:lineRule="auto"/>
        <w:ind w:hanging="720"/>
        <w:rPr>
          <w:sz w:val="22"/>
          <w:szCs w:val="22"/>
          <w:lang w:val="en-US"/>
        </w:rPr>
      </w:pPr>
    </w:p>
    <w:p w14:paraId="6EC99F4D" w14:textId="520A1C5C" w:rsidR="00004CB9" w:rsidRDefault="00004CB9" w:rsidP="00212691">
      <w:pPr>
        <w:pStyle w:val="ListParagraph"/>
        <w:numPr>
          <w:ilvl w:val="0"/>
          <w:numId w:val="25"/>
        </w:numPr>
        <w:spacing w:line="276" w:lineRule="auto"/>
        <w:ind w:hanging="720"/>
        <w:rPr>
          <w:sz w:val="22"/>
          <w:szCs w:val="22"/>
          <w:lang w:val="en-US"/>
        </w:rPr>
      </w:pPr>
      <w:r>
        <w:rPr>
          <w:sz w:val="22"/>
          <w:szCs w:val="22"/>
          <w:lang w:val="en-US"/>
        </w:rPr>
        <w:t xml:space="preserve">the assumptions are </w:t>
      </w:r>
      <w:proofErr w:type="gramStart"/>
      <w:r>
        <w:rPr>
          <w:sz w:val="22"/>
          <w:szCs w:val="22"/>
          <w:lang w:val="en-US"/>
        </w:rPr>
        <w:t>reasonable?</w:t>
      </w:r>
      <w:proofErr w:type="gramEnd"/>
    </w:p>
    <w:p w14:paraId="47F140D0" w14:textId="77777777" w:rsidR="00004CB9" w:rsidRDefault="00004CB9" w:rsidP="006A2E2E">
      <w:pPr>
        <w:pStyle w:val="ListParagraph"/>
        <w:spacing w:line="276" w:lineRule="auto"/>
        <w:ind w:hanging="720"/>
        <w:rPr>
          <w:sz w:val="22"/>
          <w:szCs w:val="22"/>
          <w:lang w:val="en-US"/>
        </w:rPr>
      </w:pPr>
    </w:p>
    <w:p w14:paraId="28D3138D" w14:textId="033DE420" w:rsidR="00E76EDA" w:rsidRDefault="00E76EDA" w:rsidP="006A2E2E">
      <w:pPr>
        <w:pStyle w:val="ListParagraph"/>
        <w:tabs>
          <w:tab w:val="left" w:pos="0"/>
        </w:tabs>
        <w:spacing w:line="276" w:lineRule="auto"/>
        <w:ind w:left="0"/>
        <w:rPr>
          <w:sz w:val="22"/>
          <w:szCs w:val="22"/>
          <w:lang w:val="en-US"/>
        </w:rPr>
      </w:pPr>
      <w:r>
        <w:rPr>
          <w:sz w:val="22"/>
          <w:szCs w:val="22"/>
          <w:lang w:val="en-US"/>
        </w:rPr>
        <w:t xml:space="preserve">To the knowledge of the authors, there is no judicial authority </w:t>
      </w:r>
      <w:r w:rsidR="00E25524">
        <w:rPr>
          <w:sz w:val="22"/>
          <w:szCs w:val="22"/>
          <w:lang w:val="en-US"/>
        </w:rPr>
        <w:t>in Canada</w:t>
      </w:r>
      <w:r w:rsidR="001A1C09">
        <w:rPr>
          <w:sz w:val="22"/>
          <w:szCs w:val="22"/>
          <w:lang w:val="en-US"/>
        </w:rPr>
        <w:t xml:space="preserve"> </w:t>
      </w:r>
      <w:r>
        <w:rPr>
          <w:sz w:val="22"/>
          <w:szCs w:val="22"/>
          <w:lang w:val="en-US"/>
        </w:rPr>
        <w:t xml:space="preserve">for </w:t>
      </w:r>
      <w:r w:rsidR="0003730F">
        <w:rPr>
          <w:sz w:val="22"/>
          <w:szCs w:val="22"/>
          <w:lang w:val="en-US"/>
        </w:rPr>
        <w:t>imposing any obligation on a lawyer to assess the items references in 1) and 2) above.</w:t>
      </w:r>
      <w:r w:rsidR="00C2052A">
        <w:rPr>
          <w:sz w:val="22"/>
          <w:szCs w:val="22"/>
          <w:lang w:val="en-US"/>
        </w:rPr>
        <w:t xml:space="preserve"> </w:t>
      </w:r>
      <w:r w:rsidR="0003730F">
        <w:rPr>
          <w:sz w:val="22"/>
          <w:szCs w:val="22"/>
          <w:lang w:val="en-US"/>
        </w:rPr>
        <w:t xml:space="preserve">Notwithstanding the foregoing, </w:t>
      </w:r>
      <w:r w:rsidR="00DF5F62">
        <w:rPr>
          <w:sz w:val="22"/>
          <w:szCs w:val="22"/>
          <w:lang w:val="en-US"/>
        </w:rPr>
        <w:t xml:space="preserve">the authors can imagine </w:t>
      </w:r>
      <w:r w:rsidR="001B30F4">
        <w:rPr>
          <w:sz w:val="22"/>
          <w:szCs w:val="22"/>
          <w:lang w:val="en-US"/>
        </w:rPr>
        <w:t xml:space="preserve">a </w:t>
      </w:r>
      <w:r w:rsidR="00DF5F62">
        <w:rPr>
          <w:sz w:val="22"/>
          <w:szCs w:val="22"/>
          <w:lang w:val="en-US"/>
        </w:rPr>
        <w:t xml:space="preserve">circumstance in which a claim is made against a franchisor for </w:t>
      </w:r>
      <w:r w:rsidR="001B30F4">
        <w:rPr>
          <w:sz w:val="22"/>
          <w:szCs w:val="22"/>
          <w:lang w:val="en-US"/>
        </w:rPr>
        <w:t>a breach of section 6(3), and the franchisor in turn issues a claim against the lawyer for negligence.</w:t>
      </w:r>
      <w:r w:rsidR="00C2052A">
        <w:rPr>
          <w:sz w:val="22"/>
          <w:szCs w:val="22"/>
          <w:lang w:val="en-US"/>
        </w:rPr>
        <w:t xml:space="preserve"> </w:t>
      </w:r>
    </w:p>
    <w:p w14:paraId="0C2EDB8A" w14:textId="77777777" w:rsidR="00E76EDA" w:rsidRDefault="00E76EDA" w:rsidP="006A2E2E">
      <w:pPr>
        <w:pStyle w:val="ListParagraph"/>
        <w:spacing w:line="276" w:lineRule="auto"/>
        <w:ind w:hanging="720"/>
        <w:rPr>
          <w:sz w:val="22"/>
          <w:szCs w:val="22"/>
          <w:lang w:val="en-US"/>
        </w:rPr>
      </w:pPr>
    </w:p>
    <w:p w14:paraId="037FAAA5" w14:textId="43CFFE69" w:rsidR="00004CB9" w:rsidRDefault="006227A1" w:rsidP="006A2E2E">
      <w:pPr>
        <w:pStyle w:val="ListParagraph"/>
        <w:spacing w:line="276" w:lineRule="auto"/>
        <w:ind w:left="0"/>
        <w:rPr>
          <w:sz w:val="22"/>
          <w:szCs w:val="22"/>
          <w:lang w:val="en-US"/>
        </w:rPr>
      </w:pPr>
      <w:r>
        <w:rPr>
          <w:sz w:val="22"/>
          <w:szCs w:val="22"/>
          <w:lang w:val="en-US"/>
        </w:rPr>
        <w:t xml:space="preserve">An example of issues that </w:t>
      </w:r>
      <w:r w:rsidR="00E76EDA">
        <w:rPr>
          <w:sz w:val="22"/>
          <w:szCs w:val="22"/>
          <w:lang w:val="en-US"/>
        </w:rPr>
        <w:t>could arise</w:t>
      </w:r>
      <w:r w:rsidR="00606ACF">
        <w:rPr>
          <w:sz w:val="22"/>
          <w:szCs w:val="22"/>
          <w:lang w:val="en-US"/>
        </w:rPr>
        <w:t xml:space="preserve"> are</w:t>
      </w:r>
      <w:r w:rsidR="00ED1034">
        <w:rPr>
          <w:sz w:val="22"/>
          <w:szCs w:val="22"/>
          <w:lang w:val="en-US"/>
        </w:rPr>
        <w:t>: (a) if</w:t>
      </w:r>
      <w:r w:rsidR="00816207">
        <w:rPr>
          <w:sz w:val="22"/>
          <w:szCs w:val="22"/>
          <w:lang w:val="en-US"/>
        </w:rPr>
        <w:t xml:space="preserve"> the Earnings Projection states </w:t>
      </w:r>
      <w:r w:rsidR="00ED1034">
        <w:rPr>
          <w:sz w:val="22"/>
          <w:szCs w:val="22"/>
          <w:lang w:val="en-US"/>
        </w:rPr>
        <w:t xml:space="preserve">that franchisees </w:t>
      </w:r>
      <w:r w:rsidR="00CD6E98">
        <w:rPr>
          <w:sz w:val="22"/>
          <w:szCs w:val="22"/>
          <w:lang w:val="en-US"/>
        </w:rPr>
        <w:t xml:space="preserve">are averaging gross sales of $x over the past several years, but this is not reflected in </w:t>
      </w:r>
      <w:r w:rsidR="00C648E9">
        <w:rPr>
          <w:sz w:val="22"/>
          <w:szCs w:val="22"/>
          <w:lang w:val="en-US"/>
        </w:rPr>
        <w:t xml:space="preserve">royalties and/or advertising contributions paid by </w:t>
      </w:r>
      <w:r w:rsidR="00661326">
        <w:rPr>
          <w:sz w:val="22"/>
          <w:szCs w:val="22"/>
          <w:lang w:val="en-US"/>
        </w:rPr>
        <w:t>franchisees</w:t>
      </w:r>
      <w:r w:rsidR="00834AEA">
        <w:rPr>
          <w:sz w:val="22"/>
          <w:szCs w:val="22"/>
          <w:lang w:val="en-US"/>
        </w:rPr>
        <w:t xml:space="preserve">; (b) if a franchisor does not </w:t>
      </w:r>
      <w:r w:rsidR="00856859">
        <w:rPr>
          <w:sz w:val="22"/>
          <w:szCs w:val="22"/>
          <w:lang w:val="en-US"/>
        </w:rPr>
        <w:t xml:space="preserve">clarify whether the </w:t>
      </w:r>
      <w:r w:rsidR="000B2BB4">
        <w:rPr>
          <w:sz w:val="22"/>
          <w:szCs w:val="22"/>
          <w:lang w:val="en-US"/>
        </w:rPr>
        <w:t>Earnings Projection</w:t>
      </w:r>
      <w:r w:rsidR="00856859">
        <w:rPr>
          <w:sz w:val="22"/>
          <w:szCs w:val="22"/>
          <w:lang w:val="en-US"/>
        </w:rPr>
        <w:t xml:space="preserve"> </w:t>
      </w:r>
      <w:r w:rsidR="001B38CF">
        <w:rPr>
          <w:sz w:val="22"/>
          <w:szCs w:val="22"/>
          <w:lang w:val="en-US"/>
        </w:rPr>
        <w:t xml:space="preserve">are comprised of only a subset of </w:t>
      </w:r>
      <w:r w:rsidR="00DF312C">
        <w:rPr>
          <w:sz w:val="22"/>
          <w:szCs w:val="22"/>
          <w:lang w:val="en-US"/>
        </w:rPr>
        <w:t>its franchisees v. all of the franchisee’s in the system; (c) the</w:t>
      </w:r>
      <w:r w:rsidR="00D11D39">
        <w:rPr>
          <w:sz w:val="22"/>
          <w:szCs w:val="22"/>
          <w:lang w:val="en-US"/>
        </w:rPr>
        <w:t xml:space="preserve"> total number of franchisees in the system at the time; (d) </w:t>
      </w:r>
      <w:r w:rsidR="00FA4059">
        <w:rPr>
          <w:sz w:val="22"/>
          <w:szCs w:val="22"/>
          <w:lang w:val="en-US"/>
        </w:rPr>
        <w:t>the number and percent of franchisees that achieved the amounts set forth in the Earnings Projection, etc.</w:t>
      </w:r>
      <w:r w:rsidR="00C2052A">
        <w:rPr>
          <w:sz w:val="22"/>
          <w:szCs w:val="22"/>
          <w:lang w:val="en-US"/>
        </w:rPr>
        <w:t xml:space="preserve"> </w:t>
      </w:r>
      <w:r w:rsidR="006845BD">
        <w:rPr>
          <w:sz w:val="22"/>
          <w:szCs w:val="22"/>
          <w:lang w:val="en-US"/>
        </w:rPr>
        <w:t xml:space="preserve"> </w:t>
      </w:r>
      <w:r w:rsidR="00E76EDA">
        <w:rPr>
          <w:sz w:val="22"/>
          <w:szCs w:val="22"/>
          <w:lang w:val="en-US"/>
        </w:rPr>
        <w:t xml:space="preserve">It is the view of the authors that there is no obligation on a lawyer </w:t>
      </w:r>
      <w:r w:rsidR="005C5503">
        <w:rPr>
          <w:sz w:val="22"/>
          <w:szCs w:val="22"/>
          <w:lang w:val="en-US"/>
        </w:rPr>
        <w:t xml:space="preserve">to verify that </w:t>
      </w:r>
      <w:r w:rsidR="00130424">
        <w:rPr>
          <w:sz w:val="22"/>
          <w:szCs w:val="22"/>
          <w:lang w:val="en-US"/>
        </w:rPr>
        <w:t xml:space="preserve">the franchisor </w:t>
      </w:r>
      <w:proofErr w:type="gramStart"/>
      <w:r w:rsidR="00130424">
        <w:rPr>
          <w:sz w:val="22"/>
          <w:szCs w:val="22"/>
          <w:lang w:val="en-US"/>
        </w:rPr>
        <w:t>actually can</w:t>
      </w:r>
      <w:proofErr w:type="gramEnd"/>
      <w:r w:rsidR="00130424">
        <w:rPr>
          <w:sz w:val="22"/>
          <w:szCs w:val="22"/>
          <w:lang w:val="en-US"/>
        </w:rPr>
        <w:t xml:space="preserve"> substantiate the information at the identified location.</w:t>
      </w:r>
      <w:r w:rsidR="00C2052A">
        <w:rPr>
          <w:sz w:val="22"/>
          <w:szCs w:val="22"/>
          <w:lang w:val="en-US"/>
        </w:rPr>
        <w:t xml:space="preserve"> </w:t>
      </w:r>
      <w:r w:rsidR="00004CB9" w:rsidRPr="00130424">
        <w:rPr>
          <w:sz w:val="22"/>
          <w:szCs w:val="22"/>
          <w:lang w:val="en-US"/>
        </w:rPr>
        <w:t xml:space="preserve"> </w:t>
      </w:r>
    </w:p>
    <w:p w14:paraId="119EA946" w14:textId="77777777" w:rsidR="005E3591" w:rsidRPr="005E3591" w:rsidRDefault="005E3591" w:rsidP="006A2E2E">
      <w:pPr>
        <w:pStyle w:val="ListParagraph"/>
        <w:spacing w:line="276" w:lineRule="auto"/>
        <w:ind w:left="0"/>
        <w:rPr>
          <w:sz w:val="22"/>
          <w:szCs w:val="22"/>
          <w:lang w:val="en-US"/>
        </w:rPr>
      </w:pPr>
    </w:p>
    <w:p w14:paraId="3FD30D23" w14:textId="7874D2FC" w:rsidR="00431F2F" w:rsidRPr="00D36F66" w:rsidRDefault="00431F2F" w:rsidP="00212691">
      <w:pPr>
        <w:pStyle w:val="ListParagraph"/>
        <w:numPr>
          <w:ilvl w:val="0"/>
          <w:numId w:val="18"/>
        </w:numPr>
        <w:spacing w:line="276" w:lineRule="auto"/>
        <w:rPr>
          <w:b/>
          <w:bCs/>
          <w:sz w:val="22"/>
          <w:szCs w:val="22"/>
          <w:lang w:val="en-US"/>
        </w:rPr>
      </w:pPr>
      <w:r w:rsidRPr="00D36F66">
        <w:rPr>
          <w:b/>
          <w:bCs/>
          <w:sz w:val="22"/>
          <w:szCs w:val="22"/>
          <w:lang w:val="en-US"/>
        </w:rPr>
        <w:t>Best Practices for Preparing and Presenting Earnings Projections</w:t>
      </w:r>
    </w:p>
    <w:p w14:paraId="5926C867" w14:textId="293E2DE4" w:rsidR="00431F2F" w:rsidRPr="00431F2F" w:rsidRDefault="00804934" w:rsidP="00212691">
      <w:pPr>
        <w:spacing w:line="276" w:lineRule="auto"/>
        <w:rPr>
          <w:sz w:val="22"/>
          <w:szCs w:val="22"/>
        </w:rPr>
      </w:pPr>
      <w:r>
        <w:rPr>
          <w:sz w:val="22"/>
          <w:szCs w:val="22"/>
        </w:rPr>
        <w:t xml:space="preserve">The preparation of </w:t>
      </w:r>
      <w:r w:rsidR="000B2BB4">
        <w:rPr>
          <w:sz w:val="22"/>
          <w:szCs w:val="22"/>
        </w:rPr>
        <w:t>Earnings Projection</w:t>
      </w:r>
      <w:r w:rsidR="00431F2F">
        <w:rPr>
          <w:sz w:val="22"/>
          <w:szCs w:val="22"/>
        </w:rPr>
        <w:t>s</w:t>
      </w:r>
      <w:r>
        <w:rPr>
          <w:sz w:val="22"/>
          <w:szCs w:val="22"/>
        </w:rPr>
        <w:t xml:space="preserve"> for inclusion</w:t>
      </w:r>
      <w:r w:rsidR="00431F2F">
        <w:rPr>
          <w:sz w:val="22"/>
          <w:szCs w:val="22"/>
        </w:rPr>
        <w:t xml:space="preserve"> in </w:t>
      </w:r>
      <w:r>
        <w:rPr>
          <w:sz w:val="22"/>
          <w:szCs w:val="22"/>
        </w:rPr>
        <w:t xml:space="preserve">a </w:t>
      </w:r>
      <w:r w:rsidR="00423D22">
        <w:rPr>
          <w:sz w:val="22"/>
          <w:szCs w:val="22"/>
        </w:rPr>
        <w:t xml:space="preserve">franchise </w:t>
      </w:r>
      <w:r w:rsidR="00431F2F">
        <w:rPr>
          <w:sz w:val="22"/>
          <w:szCs w:val="22"/>
        </w:rPr>
        <w:t>disclosure document</w:t>
      </w:r>
      <w:r w:rsidR="00423D22">
        <w:rPr>
          <w:sz w:val="22"/>
          <w:szCs w:val="22"/>
        </w:rPr>
        <w:t>,</w:t>
      </w:r>
      <w:r w:rsidR="00431F2F">
        <w:rPr>
          <w:sz w:val="22"/>
          <w:szCs w:val="22"/>
        </w:rPr>
        <w:t xml:space="preserve"> is a</w:t>
      </w:r>
      <w:r w:rsidR="00423D22">
        <w:rPr>
          <w:sz w:val="22"/>
          <w:szCs w:val="22"/>
        </w:rPr>
        <w:t>n involved process for</w:t>
      </w:r>
      <w:r w:rsidR="00431F2F">
        <w:rPr>
          <w:sz w:val="22"/>
          <w:szCs w:val="22"/>
        </w:rPr>
        <w:t xml:space="preserve"> franchisors</w:t>
      </w:r>
      <w:r w:rsidR="00431F2F" w:rsidRPr="00431F2F">
        <w:rPr>
          <w:sz w:val="22"/>
          <w:szCs w:val="22"/>
        </w:rPr>
        <w:t xml:space="preserve">. </w:t>
      </w:r>
      <w:r w:rsidR="00423D22">
        <w:rPr>
          <w:sz w:val="22"/>
          <w:szCs w:val="22"/>
        </w:rPr>
        <w:t>Over</w:t>
      </w:r>
      <w:r w:rsidR="00431F2F">
        <w:rPr>
          <w:sz w:val="22"/>
          <w:szCs w:val="22"/>
        </w:rPr>
        <w:t xml:space="preserve"> the past few years this task </w:t>
      </w:r>
      <w:r w:rsidR="00423D22">
        <w:rPr>
          <w:sz w:val="22"/>
          <w:szCs w:val="22"/>
        </w:rPr>
        <w:t xml:space="preserve">has been made </w:t>
      </w:r>
      <w:r w:rsidR="00431F2F">
        <w:rPr>
          <w:sz w:val="22"/>
          <w:szCs w:val="22"/>
        </w:rPr>
        <w:t>even more challenging given post</w:t>
      </w:r>
      <w:r w:rsidR="00431F2F" w:rsidRPr="00431F2F">
        <w:rPr>
          <w:sz w:val="22"/>
          <w:szCs w:val="22"/>
        </w:rPr>
        <w:t xml:space="preserve">-pandemic volatility, supply chain disruptions, labour market instability, </w:t>
      </w:r>
      <w:r w:rsidR="00431F2F">
        <w:rPr>
          <w:sz w:val="22"/>
          <w:szCs w:val="22"/>
        </w:rPr>
        <w:t xml:space="preserve">political changes in Canada </w:t>
      </w:r>
      <w:r w:rsidR="00431F2F" w:rsidRPr="00431F2F">
        <w:rPr>
          <w:sz w:val="22"/>
          <w:szCs w:val="22"/>
        </w:rPr>
        <w:t xml:space="preserve">and </w:t>
      </w:r>
      <w:r w:rsidR="00431F2F">
        <w:rPr>
          <w:sz w:val="22"/>
          <w:szCs w:val="22"/>
        </w:rPr>
        <w:t>beyond</w:t>
      </w:r>
      <w:r w:rsidR="001C303C">
        <w:rPr>
          <w:sz w:val="22"/>
          <w:szCs w:val="22"/>
        </w:rPr>
        <w:t xml:space="preserve"> (including trade policy shifts and tariff implementations)</w:t>
      </w:r>
      <w:r w:rsidR="00431F2F">
        <w:rPr>
          <w:sz w:val="22"/>
          <w:szCs w:val="22"/>
        </w:rPr>
        <w:t xml:space="preserve">, </w:t>
      </w:r>
      <w:r w:rsidR="001C303C">
        <w:rPr>
          <w:sz w:val="22"/>
          <w:szCs w:val="22"/>
        </w:rPr>
        <w:t xml:space="preserve">the rapid adoption of AI technology across industries, </w:t>
      </w:r>
      <w:r w:rsidR="00431F2F">
        <w:rPr>
          <w:sz w:val="22"/>
          <w:szCs w:val="22"/>
        </w:rPr>
        <w:t xml:space="preserve">and </w:t>
      </w:r>
      <w:r w:rsidR="00431F2F" w:rsidRPr="00431F2F">
        <w:rPr>
          <w:sz w:val="22"/>
          <w:szCs w:val="22"/>
        </w:rPr>
        <w:t>fluctuating consumer demand patterns have made historical performance data less predictive of future results. This section addresses the practical considerations franchisors</w:t>
      </w:r>
      <w:r>
        <w:rPr>
          <w:sz w:val="22"/>
          <w:szCs w:val="22"/>
        </w:rPr>
        <w:t xml:space="preserve">, and their </w:t>
      </w:r>
      <w:r>
        <w:rPr>
          <w:sz w:val="22"/>
          <w:szCs w:val="22"/>
        </w:rPr>
        <w:lastRenderedPageBreak/>
        <w:t>lawyers,</w:t>
      </w:r>
      <w:r w:rsidR="00431F2F" w:rsidRPr="00431F2F">
        <w:rPr>
          <w:sz w:val="22"/>
          <w:szCs w:val="22"/>
        </w:rPr>
        <w:t xml:space="preserve"> must navigate when deciding whether to provide </w:t>
      </w:r>
      <w:r w:rsidR="000B2BB4">
        <w:rPr>
          <w:sz w:val="22"/>
          <w:szCs w:val="22"/>
        </w:rPr>
        <w:t>Earnings Projection</w:t>
      </w:r>
      <w:r w:rsidR="00431F2F" w:rsidRPr="00431F2F">
        <w:rPr>
          <w:sz w:val="22"/>
          <w:szCs w:val="22"/>
        </w:rPr>
        <w:t xml:space="preserve">s and, if so, how to prepare and present them in a manner that </w:t>
      </w:r>
      <w:r w:rsidR="00103A55">
        <w:rPr>
          <w:sz w:val="22"/>
          <w:szCs w:val="22"/>
        </w:rPr>
        <w:t>reflects best practice (satisfying</w:t>
      </w:r>
      <w:r w:rsidR="00431F2F" w:rsidRPr="00431F2F">
        <w:rPr>
          <w:sz w:val="22"/>
          <w:szCs w:val="22"/>
        </w:rPr>
        <w:t xml:space="preserve"> regulatory requirements</w:t>
      </w:r>
      <w:r w:rsidR="00103A55">
        <w:rPr>
          <w:sz w:val="22"/>
          <w:szCs w:val="22"/>
        </w:rPr>
        <w:t xml:space="preserve"> while</w:t>
      </w:r>
      <w:r w:rsidR="00431F2F" w:rsidRPr="00431F2F">
        <w:rPr>
          <w:sz w:val="22"/>
          <w:szCs w:val="22"/>
        </w:rPr>
        <w:t xml:space="preserve"> serv</w:t>
      </w:r>
      <w:r w:rsidR="00103A55">
        <w:rPr>
          <w:sz w:val="22"/>
          <w:szCs w:val="22"/>
        </w:rPr>
        <w:t>ing</w:t>
      </w:r>
      <w:r w:rsidR="00431F2F" w:rsidRPr="00431F2F">
        <w:rPr>
          <w:sz w:val="22"/>
          <w:szCs w:val="22"/>
        </w:rPr>
        <w:t xml:space="preserve"> the legitimate business objective of attracting qualified franchisees</w:t>
      </w:r>
      <w:r w:rsidR="00103A55">
        <w:rPr>
          <w:sz w:val="22"/>
          <w:szCs w:val="22"/>
        </w:rPr>
        <w:t>)</w:t>
      </w:r>
      <w:r w:rsidR="00431F2F" w:rsidRPr="00431F2F">
        <w:rPr>
          <w:sz w:val="22"/>
          <w:szCs w:val="22"/>
        </w:rPr>
        <w:t>.</w:t>
      </w:r>
    </w:p>
    <w:p w14:paraId="7F527D7F" w14:textId="12964F02" w:rsidR="001263DD" w:rsidRDefault="001263DD" w:rsidP="00212691">
      <w:pPr>
        <w:spacing w:line="276" w:lineRule="auto"/>
        <w:rPr>
          <w:b/>
          <w:bCs/>
          <w:i/>
          <w:iCs/>
          <w:sz w:val="22"/>
          <w:szCs w:val="22"/>
        </w:rPr>
      </w:pPr>
      <w:r w:rsidRPr="003C35C6">
        <w:rPr>
          <w:b/>
          <w:bCs/>
          <w:i/>
          <w:iCs/>
          <w:sz w:val="22"/>
          <w:szCs w:val="22"/>
        </w:rPr>
        <w:t>Designing Compliant Earnings Projections</w:t>
      </w:r>
    </w:p>
    <w:p w14:paraId="77EFDD57" w14:textId="54462940" w:rsidR="00533B40" w:rsidRDefault="0057347D" w:rsidP="00212691">
      <w:pPr>
        <w:spacing w:line="276" w:lineRule="auto"/>
        <w:ind w:left="450" w:hanging="450"/>
        <w:rPr>
          <w:i/>
          <w:iCs/>
          <w:sz w:val="22"/>
          <w:szCs w:val="22"/>
        </w:rPr>
      </w:pPr>
      <w:r w:rsidRPr="0057347D">
        <w:rPr>
          <w:i/>
          <w:iCs/>
          <w:sz w:val="22"/>
          <w:szCs w:val="22"/>
        </w:rPr>
        <w:t>A.</w:t>
      </w:r>
      <w:r>
        <w:rPr>
          <w:b/>
          <w:bCs/>
          <w:i/>
          <w:iCs/>
          <w:sz w:val="22"/>
          <w:szCs w:val="22"/>
        </w:rPr>
        <w:tab/>
      </w:r>
      <w:r>
        <w:rPr>
          <w:i/>
          <w:iCs/>
          <w:sz w:val="22"/>
          <w:szCs w:val="22"/>
        </w:rPr>
        <w:t xml:space="preserve">Introduction </w:t>
      </w:r>
      <w:r w:rsidR="00C430B5">
        <w:rPr>
          <w:i/>
          <w:iCs/>
          <w:sz w:val="22"/>
          <w:szCs w:val="22"/>
        </w:rPr>
        <w:t>– Distinguishing Between the Types of Earnings Projections</w:t>
      </w:r>
    </w:p>
    <w:p w14:paraId="4CDB7741" w14:textId="001734C7" w:rsidR="00226675" w:rsidRDefault="00B24E61" w:rsidP="00212691">
      <w:pPr>
        <w:spacing w:line="276" w:lineRule="auto"/>
        <w:rPr>
          <w:sz w:val="22"/>
          <w:szCs w:val="22"/>
        </w:rPr>
      </w:pPr>
      <w:r>
        <w:rPr>
          <w:sz w:val="22"/>
          <w:szCs w:val="22"/>
        </w:rPr>
        <w:t xml:space="preserve">There are essentially two types of </w:t>
      </w:r>
      <w:r w:rsidR="000B2BB4">
        <w:rPr>
          <w:sz w:val="22"/>
          <w:szCs w:val="22"/>
        </w:rPr>
        <w:t>Earnings Projection</w:t>
      </w:r>
      <w:r>
        <w:rPr>
          <w:sz w:val="22"/>
          <w:szCs w:val="22"/>
        </w:rPr>
        <w:t>s</w:t>
      </w:r>
      <w:r w:rsidR="00E151D6">
        <w:rPr>
          <w:sz w:val="22"/>
          <w:szCs w:val="22"/>
        </w:rPr>
        <w:t>.</w:t>
      </w:r>
      <w:r w:rsidR="00C2052A">
        <w:rPr>
          <w:sz w:val="22"/>
          <w:szCs w:val="22"/>
        </w:rPr>
        <w:t xml:space="preserve"> </w:t>
      </w:r>
    </w:p>
    <w:p w14:paraId="55E27BD2" w14:textId="2EB7ADE4" w:rsidR="00C430B5" w:rsidRDefault="00E151D6" w:rsidP="00212691">
      <w:pPr>
        <w:pStyle w:val="ListParagraph"/>
        <w:numPr>
          <w:ilvl w:val="0"/>
          <w:numId w:val="29"/>
        </w:numPr>
        <w:spacing w:line="276" w:lineRule="auto"/>
        <w:ind w:hanging="720"/>
        <w:rPr>
          <w:sz w:val="22"/>
          <w:szCs w:val="22"/>
        </w:rPr>
      </w:pPr>
      <w:r w:rsidRPr="00226675">
        <w:rPr>
          <w:sz w:val="22"/>
          <w:szCs w:val="22"/>
        </w:rPr>
        <w:t xml:space="preserve">One is </w:t>
      </w:r>
      <w:r w:rsidR="003D217C" w:rsidRPr="00226675">
        <w:rPr>
          <w:sz w:val="22"/>
          <w:szCs w:val="22"/>
        </w:rPr>
        <w:t xml:space="preserve">an Earnings Projection that is based on the historical performance of </w:t>
      </w:r>
      <w:r w:rsidR="00D42DC3" w:rsidRPr="00226675">
        <w:rPr>
          <w:sz w:val="22"/>
          <w:szCs w:val="22"/>
        </w:rPr>
        <w:t>its franchisees (and perhaps including or excluding franchisor owned units)</w:t>
      </w:r>
      <w:r w:rsidR="00191620">
        <w:rPr>
          <w:sz w:val="22"/>
          <w:szCs w:val="22"/>
        </w:rPr>
        <w:t xml:space="preserve">. </w:t>
      </w:r>
    </w:p>
    <w:p w14:paraId="51A8DBF5" w14:textId="77777777" w:rsidR="00191620" w:rsidRDefault="00191620" w:rsidP="00212691">
      <w:pPr>
        <w:pStyle w:val="ListParagraph"/>
        <w:spacing w:line="276" w:lineRule="auto"/>
        <w:rPr>
          <w:sz w:val="22"/>
          <w:szCs w:val="22"/>
        </w:rPr>
      </w:pPr>
    </w:p>
    <w:p w14:paraId="670D9286" w14:textId="47754D92" w:rsidR="00D952CB" w:rsidRDefault="00191620" w:rsidP="00212691">
      <w:pPr>
        <w:pStyle w:val="ListParagraph"/>
        <w:numPr>
          <w:ilvl w:val="0"/>
          <w:numId w:val="29"/>
        </w:numPr>
        <w:spacing w:line="276" w:lineRule="auto"/>
        <w:ind w:hanging="720"/>
        <w:rPr>
          <w:sz w:val="22"/>
          <w:szCs w:val="22"/>
        </w:rPr>
      </w:pPr>
      <w:r>
        <w:rPr>
          <w:sz w:val="22"/>
          <w:szCs w:val="22"/>
        </w:rPr>
        <w:t>A forecast of potential performance.</w:t>
      </w:r>
      <w:r w:rsidR="00C2052A">
        <w:rPr>
          <w:sz w:val="22"/>
          <w:szCs w:val="22"/>
        </w:rPr>
        <w:t xml:space="preserve"> </w:t>
      </w:r>
      <w:r w:rsidR="00B12992">
        <w:rPr>
          <w:sz w:val="22"/>
          <w:szCs w:val="22"/>
        </w:rPr>
        <w:t xml:space="preserve">The forecast could be based on assumptions which </w:t>
      </w:r>
      <w:r w:rsidR="00203C3C">
        <w:rPr>
          <w:sz w:val="22"/>
          <w:szCs w:val="22"/>
        </w:rPr>
        <w:t>could, in the reasonable opinion of the franchisor</w:t>
      </w:r>
      <w:r w:rsidR="00D952CB">
        <w:rPr>
          <w:sz w:val="22"/>
          <w:szCs w:val="22"/>
        </w:rPr>
        <w:t>:</w:t>
      </w:r>
      <w:r w:rsidR="00203C3C">
        <w:rPr>
          <w:sz w:val="22"/>
          <w:szCs w:val="22"/>
        </w:rPr>
        <w:t xml:space="preserve"> </w:t>
      </w:r>
    </w:p>
    <w:p w14:paraId="0EBB0B2E" w14:textId="77777777" w:rsidR="00D952CB" w:rsidRPr="00D952CB" w:rsidRDefault="00D952CB" w:rsidP="006A2E2E">
      <w:pPr>
        <w:pStyle w:val="ListParagraph"/>
        <w:spacing w:line="276" w:lineRule="auto"/>
        <w:rPr>
          <w:sz w:val="22"/>
          <w:szCs w:val="22"/>
        </w:rPr>
      </w:pPr>
    </w:p>
    <w:p w14:paraId="54E2C2BA" w14:textId="0A489F4A" w:rsidR="00226675" w:rsidRDefault="00203C3C" w:rsidP="00212691">
      <w:pPr>
        <w:pStyle w:val="ListParagraph"/>
        <w:numPr>
          <w:ilvl w:val="0"/>
          <w:numId w:val="30"/>
        </w:numPr>
        <w:spacing w:line="276" w:lineRule="auto"/>
        <w:ind w:left="1440" w:hanging="720"/>
        <w:rPr>
          <w:sz w:val="22"/>
          <w:szCs w:val="22"/>
        </w:rPr>
      </w:pPr>
      <w:r>
        <w:rPr>
          <w:sz w:val="22"/>
          <w:szCs w:val="22"/>
        </w:rPr>
        <w:t xml:space="preserve">reflect the most likely outcome of </w:t>
      </w:r>
      <w:r w:rsidR="00D952CB">
        <w:rPr>
          <w:sz w:val="22"/>
          <w:szCs w:val="22"/>
        </w:rPr>
        <w:t xml:space="preserve">events; or </w:t>
      </w:r>
    </w:p>
    <w:p w14:paraId="5D71EC21" w14:textId="77777777" w:rsidR="00D952CB" w:rsidRDefault="00D952CB" w:rsidP="00212691">
      <w:pPr>
        <w:pStyle w:val="ListParagraph"/>
        <w:spacing w:line="276" w:lineRule="auto"/>
        <w:ind w:left="1440"/>
        <w:rPr>
          <w:sz w:val="22"/>
          <w:szCs w:val="22"/>
        </w:rPr>
      </w:pPr>
    </w:p>
    <w:p w14:paraId="599D6CE6" w14:textId="44DA19B0" w:rsidR="00C46C14" w:rsidRPr="00C46C14" w:rsidRDefault="00D952CB" w:rsidP="00212691">
      <w:pPr>
        <w:pStyle w:val="ListParagraph"/>
        <w:numPr>
          <w:ilvl w:val="0"/>
          <w:numId w:val="30"/>
        </w:numPr>
        <w:spacing w:line="276" w:lineRule="auto"/>
        <w:ind w:left="1440" w:hanging="720"/>
        <w:rPr>
          <w:sz w:val="22"/>
          <w:szCs w:val="22"/>
        </w:rPr>
      </w:pPr>
      <w:r>
        <w:rPr>
          <w:sz w:val="22"/>
          <w:szCs w:val="22"/>
        </w:rPr>
        <w:t>reflect</w:t>
      </w:r>
      <w:r w:rsidR="00C46C14">
        <w:rPr>
          <w:sz w:val="22"/>
          <w:szCs w:val="22"/>
        </w:rPr>
        <w:t xml:space="preserve"> the most favourable outcome of events.</w:t>
      </w:r>
      <w:r w:rsidR="00C2052A">
        <w:rPr>
          <w:sz w:val="22"/>
          <w:szCs w:val="22"/>
        </w:rPr>
        <w:t xml:space="preserve"> </w:t>
      </w:r>
    </w:p>
    <w:p w14:paraId="1D339B85" w14:textId="075EE547" w:rsidR="00191620" w:rsidRPr="00F83DA1" w:rsidRDefault="00C46C14" w:rsidP="00212691">
      <w:pPr>
        <w:spacing w:line="276" w:lineRule="auto"/>
        <w:rPr>
          <w:sz w:val="22"/>
          <w:szCs w:val="22"/>
        </w:rPr>
      </w:pPr>
      <w:r>
        <w:rPr>
          <w:sz w:val="22"/>
          <w:szCs w:val="22"/>
        </w:rPr>
        <w:t xml:space="preserve">In </w:t>
      </w:r>
      <w:r w:rsidR="00C25C9A">
        <w:rPr>
          <w:sz w:val="22"/>
          <w:szCs w:val="22"/>
        </w:rPr>
        <w:t xml:space="preserve">advising franchisors in the presentation of Earnings Projections, it is critically important to understand what information is being presented so that </w:t>
      </w:r>
      <w:r w:rsidR="00261B91">
        <w:rPr>
          <w:sz w:val="22"/>
          <w:szCs w:val="22"/>
        </w:rPr>
        <w:t xml:space="preserve">the assumptions or hypotheses underlying the Earnings Projection are clearly </w:t>
      </w:r>
      <w:r w:rsidR="00F83DA1">
        <w:rPr>
          <w:sz w:val="22"/>
          <w:szCs w:val="22"/>
        </w:rPr>
        <w:t>articulated.</w:t>
      </w:r>
      <w:r w:rsidR="00C2052A">
        <w:rPr>
          <w:sz w:val="22"/>
          <w:szCs w:val="22"/>
        </w:rPr>
        <w:t xml:space="preserve"> </w:t>
      </w:r>
    </w:p>
    <w:p w14:paraId="3084F195" w14:textId="4E4A1254" w:rsidR="001263DD" w:rsidRPr="00C430B5" w:rsidRDefault="001263DD" w:rsidP="00212691">
      <w:pPr>
        <w:pStyle w:val="ListParagraph"/>
        <w:numPr>
          <w:ilvl w:val="0"/>
          <w:numId w:val="28"/>
        </w:numPr>
        <w:spacing w:line="276" w:lineRule="auto"/>
        <w:ind w:left="360"/>
        <w:rPr>
          <w:i/>
          <w:iCs/>
          <w:sz w:val="22"/>
          <w:szCs w:val="22"/>
        </w:rPr>
      </w:pPr>
      <w:r w:rsidRPr="00C430B5">
        <w:rPr>
          <w:i/>
          <w:iCs/>
          <w:sz w:val="22"/>
          <w:szCs w:val="22"/>
        </w:rPr>
        <w:t xml:space="preserve">Establishing the </w:t>
      </w:r>
      <w:r w:rsidR="000946DC" w:rsidRPr="00C430B5">
        <w:rPr>
          <w:i/>
          <w:iCs/>
          <w:sz w:val="22"/>
          <w:szCs w:val="22"/>
        </w:rPr>
        <w:t>“</w:t>
      </w:r>
      <w:r w:rsidRPr="00C430B5">
        <w:rPr>
          <w:i/>
          <w:iCs/>
          <w:sz w:val="22"/>
          <w:szCs w:val="22"/>
        </w:rPr>
        <w:t>Reasonable Basis</w:t>
      </w:r>
      <w:r w:rsidR="000946DC" w:rsidRPr="00C430B5">
        <w:rPr>
          <w:i/>
          <w:iCs/>
          <w:sz w:val="22"/>
          <w:szCs w:val="22"/>
        </w:rPr>
        <w:t>”</w:t>
      </w:r>
    </w:p>
    <w:p w14:paraId="571F722E" w14:textId="060DC9AF" w:rsidR="001263DD" w:rsidRPr="001263DD" w:rsidRDefault="001263DD" w:rsidP="00212691">
      <w:pPr>
        <w:spacing w:line="276" w:lineRule="auto"/>
        <w:rPr>
          <w:sz w:val="22"/>
          <w:szCs w:val="22"/>
        </w:rPr>
      </w:pPr>
      <w:r>
        <w:rPr>
          <w:sz w:val="22"/>
          <w:szCs w:val="22"/>
        </w:rPr>
        <w:t xml:space="preserve">The first requirement set out in </w:t>
      </w:r>
      <w:r w:rsidRPr="001263DD">
        <w:rPr>
          <w:sz w:val="22"/>
          <w:szCs w:val="22"/>
        </w:rPr>
        <w:t xml:space="preserve">Section 6(3) of the Regulation </w:t>
      </w:r>
      <w:r>
        <w:rPr>
          <w:sz w:val="22"/>
          <w:szCs w:val="22"/>
        </w:rPr>
        <w:t xml:space="preserve">is that </w:t>
      </w:r>
      <w:r w:rsidRPr="001263DD">
        <w:rPr>
          <w:sz w:val="22"/>
          <w:szCs w:val="22"/>
        </w:rPr>
        <w:t xml:space="preserve">any </w:t>
      </w:r>
      <w:r w:rsidR="000B2BB4">
        <w:rPr>
          <w:sz w:val="22"/>
          <w:szCs w:val="22"/>
        </w:rPr>
        <w:t>Earnings Projection</w:t>
      </w:r>
      <w:r w:rsidRPr="001263DD">
        <w:rPr>
          <w:sz w:val="22"/>
          <w:szCs w:val="22"/>
        </w:rPr>
        <w:t xml:space="preserve"> must be accompanied by a statement specifying the reasonable basis for the projection. The concept of </w:t>
      </w:r>
      <w:r w:rsidR="000946DC">
        <w:rPr>
          <w:sz w:val="22"/>
          <w:szCs w:val="22"/>
        </w:rPr>
        <w:t>“</w:t>
      </w:r>
      <w:r w:rsidRPr="001263DD">
        <w:rPr>
          <w:sz w:val="22"/>
          <w:szCs w:val="22"/>
        </w:rPr>
        <w:t>reasonable basis</w:t>
      </w:r>
      <w:r w:rsidR="000946DC">
        <w:rPr>
          <w:sz w:val="22"/>
          <w:szCs w:val="22"/>
        </w:rPr>
        <w:t>”</w:t>
      </w:r>
      <w:r w:rsidRPr="001263DD">
        <w:rPr>
          <w:sz w:val="22"/>
          <w:szCs w:val="22"/>
        </w:rPr>
        <w:t xml:space="preserve"> is fundamental to compliant </w:t>
      </w:r>
      <w:r w:rsidR="000B2BB4">
        <w:rPr>
          <w:sz w:val="22"/>
          <w:szCs w:val="22"/>
        </w:rPr>
        <w:t>Earnings Projection</w:t>
      </w:r>
      <w:r w:rsidRPr="001263DD">
        <w:rPr>
          <w:sz w:val="22"/>
          <w:szCs w:val="22"/>
        </w:rPr>
        <w:t xml:space="preserve">s, yet the Regulation provides </w:t>
      </w:r>
      <w:r w:rsidR="006845BD">
        <w:rPr>
          <w:sz w:val="22"/>
          <w:szCs w:val="22"/>
        </w:rPr>
        <w:t xml:space="preserve">no </w:t>
      </w:r>
      <w:r w:rsidRPr="001263DD">
        <w:rPr>
          <w:sz w:val="22"/>
          <w:szCs w:val="22"/>
        </w:rPr>
        <w:t xml:space="preserve">guidance on what constitutes adequacy in this regard. </w:t>
      </w:r>
      <w:r>
        <w:rPr>
          <w:sz w:val="22"/>
          <w:szCs w:val="22"/>
        </w:rPr>
        <w:t>It is submitted that t</w:t>
      </w:r>
      <w:r w:rsidRPr="001263DD">
        <w:rPr>
          <w:sz w:val="22"/>
          <w:szCs w:val="22"/>
        </w:rPr>
        <w:t xml:space="preserve">he reasonable basis for </w:t>
      </w:r>
      <w:r w:rsidR="000B2BB4">
        <w:rPr>
          <w:sz w:val="22"/>
          <w:szCs w:val="22"/>
        </w:rPr>
        <w:t>Earnings Projection</w:t>
      </w:r>
      <w:r w:rsidRPr="001263DD">
        <w:rPr>
          <w:sz w:val="22"/>
          <w:szCs w:val="22"/>
        </w:rPr>
        <w:t xml:space="preserve">s typically </w:t>
      </w:r>
      <w:r>
        <w:rPr>
          <w:sz w:val="22"/>
          <w:szCs w:val="22"/>
        </w:rPr>
        <w:t xml:space="preserve">may be </w:t>
      </w:r>
      <w:r w:rsidRPr="001263DD">
        <w:rPr>
          <w:sz w:val="22"/>
          <w:szCs w:val="22"/>
        </w:rPr>
        <w:t>derive</w:t>
      </w:r>
      <w:r>
        <w:rPr>
          <w:sz w:val="22"/>
          <w:szCs w:val="22"/>
        </w:rPr>
        <w:t>d</w:t>
      </w:r>
      <w:r w:rsidRPr="001263DD">
        <w:rPr>
          <w:sz w:val="22"/>
          <w:szCs w:val="22"/>
        </w:rPr>
        <w:t xml:space="preserve"> from one or more of the following data sources</w:t>
      </w:r>
      <w:r>
        <w:rPr>
          <w:sz w:val="22"/>
          <w:szCs w:val="22"/>
        </w:rPr>
        <w:t>.</w:t>
      </w:r>
    </w:p>
    <w:p w14:paraId="6C6C355C" w14:textId="262293AC" w:rsidR="001263DD" w:rsidRDefault="001263DD" w:rsidP="00212691">
      <w:pPr>
        <w:pStyle w:val="ListParagraph"/>
        <w:numPr>
          <w:ilvl w:val="0"/>
          <w:numId w:val="16"/>
        </w:numPr>
        <w:spacing w:line="276" w:lineRule="auto"/>
        <w:ind w:left="360"/>
        <w:rPr>
          <w:sz w:val="22"/>
          <w:szCs w:val="22"/>
        </w:rPr>
      </w:pPr>
      <w:r>
        <w:rPr>
          <w:i/>
          <w:iCs/>
          <w:sz w:val="22"/>
          <w:szCs w:val="22"/>
        </w:rPr>
        <w:t>H</w:t>
      </w:r>
      <w:r w:rsidRPr="001263DD">
        <w:rPr>
          <w:i/>
          <w:iCs/>
          <w:sz w:val="22"/>
          <w:szCs w:val="22"/>
        </w:rPr>
        <w:t>istorical performance of company-owned units</w:t>
      </w:r>
      <w:r>
        <w:rPr>
          <w:sz w:val="22"/>
          <w:szCs w:val="22"/>
        </w:rPr>
        <w:t>.</w:t>
      </w:r>
      <w:r w:rsidRPr="001263DD">
        <w:rPr>
          <w:sz w:val="22"/>
          <w:szCs w:val="22"/>
        </w:rPr>
        <w:t xml:space="preserve"> For franchisors </w:t>
      </w:r>
      <w:r>
        <w:rPr>
          <w:sz w:val="22"/>
          <w:szCs w:val="22"/>
        </w:rPr>
        <w:t xml:space="preserve">operating </w:t>
      </w:r>
      <w:r w:rsidRPr="001263DD">
        <w:rPr>
          <w:sz w:val="22"/>
          <w:szCs w:val="22"/>
        </w:rPr>
        <w:t xml:space="preserve">company-owned locations, the historical financial performance of these units can provide a foundation for </w:t>
      </w:r>
      <w:r w:rsidR="000B2BB4">
        <w:rPr>
          <w:sz w:val="22"/>
          <w:szCs w:val="22"/>
        </w:rPr>
        <w:t>Earnings Projection</w:t>
      </w:r>
      <w:r w:rsidRPr="001263DD">
        <w:rPr>
          <w:sz w:val="22"/>
          <w:szCs w:val="22"/>
        </w:rPr>
        <w:t xml:space="preserve">s, offering complete financial transparency and consistent accounting practices. However, franchisors must consider whether company-owned units truly </w:t>
      </w:r>
      <w:r>
        <w:rPr>
          <w:sz w:val="22"/>
          <w:szCs w:val="22"/>
        </w:rPr>
        <w:t xml:space="preserve">represent </w:t>
      </w:r>
      <w:r w:rsidRPr="001263DD">
        <w:rPr>
          <w:sz w:val="22"/>
          <w:szCs w:val="22"/>
        </w:rPr>
        <w:t>franchised operations, as differences in management, economies of scale, or operational practices may make company-owned performance an imperfect predictor of franchisee results.</w:t>
      </w:r>
    </w:p>
    <w:p w14:paraId="45B9FBA3" w14:textId="59BCBBB2" w:rsidR="001263DD" w:rsidRPr="001263DD" w:rsidRDefault="001263DD" w:rsidP="00212691">
      <w:pPr>
        <w:pStyle w:val="ListParagraph"/>
        <w:spacing w:line="276" w:lineRule="auto"/>
        <w:ind w:left="360"/>
        <w:rPr>
          <w:sz w:val="22"/>
          <w:szCs w:val="22"/>
        </w:rPr>
      </w:pPr>
    </w:p>
    <w:p w14:paraId="0E4804C8" w14:textId="73ED9972" w:rsidR="001263DD" w:rsidRDefault="001263DD" w:rsidP="00212691">
      <w:pPr>
        <w:pStyle w:val="ListParagraph"/>
        <w:numPr>
          <w:ilvl w:val="0"/>
          <w:numId w:val="16"/>
        </w:numPr>
        <w:spacing w:line="276" w:lineRule="auto"/>
        <w:ind w:left="360"/>
        <w:rPr>
          <w:sz w:val="22"/>
          <w:szCs w:val="22"/>
        </w:rPr>
      </w:pPr>
      <w:r w:rsidRPr="001263DD">
        <w:rPr>
          <w:i/>
          <w:iCs/>
          <w:sz w:val="22"/>
          <w:szCs w:val="22"/>
        </w:rPr>
        <w:t>Historical performance of franchised units</w:t>
      </w:r>
      <w:r>
        <w:rPr>
          <w:sz w:val="22"/>
          <w:szCs w:val="22"/>
        </w:rPr>
        <w:t>.</w:t>
      </w:r>
      <w:r w:rsidRPr="001263DD">
        <w:rPr>
          <w:sz w:val="22"/>
          <w:szCs w:val="22"/>
        </w:rPr>
        <w:t xml:space="preserve"> The actual financial performance of existing franchisees typically provides the most relevant basis for projections, as it reflects the real-world experience of independent operators under franchise agreements </w:t>
      </w:r>
      <w:proofErr w:type="gramStart"/>
      <w:r w:rsidRPr="001263DD">
        <w:rPr>
          <w:sz w:val="22"/>
          <w:szCs w:val="22"/>
        </w:rPr>
        <w:t>similar to</w:t>
      </w:r>
      <w:proofErr w:type="gramEnd"/>
      <w:r w:rsidRPr="001263DD">
        <w:rPr>
          <w:sz w:val="22"/>
          <w:szCs w:val="22"/>
        </w:rPr>
        <w:t xml:space="preserve"> those being offered to prospective franchisees.</w:t>
      </w:r>
      <w:r>
        <w:rPr>
          <w:sz w:val="22"/>
          <w:szCs w:val="22"/>
        </w:rPr>
        <w:t xml:space="preserve"> However, franchisees operate in varying economic regions and bring different levels of business acumen, operational skill, and effort to their operations, which can impact individual performance and must be considered when evaluating the representativeness of historical franchisee data.</w:t>
      </w:r>
    </w:p>
    <w:p w14:paraId="6A757134" w14:textId="77777777" w:rsidR="001263DD" w:rsidRPr="001263DD" w:rsidRDefault="001263DD" w:rsidP="006A2E2E">
      <w:pPr>
        <w:pStyle w:val="ListParagraph"/>
        <w:spacing w:line="276" w:lineRule="auto"/>
        <w:ind w:left="360"/>
        <w:rPr>
          <w:sz w:val="22"/>
          <w:szCs w:val="22"/>
        </w:rPr>
      </w:pPr>
    </w:p>
    <w:p w14:paraId="7BEC37F5" w14:textId="567724E1" w:rsidR="001263DD" w:rsidRDefault="001263DD" w:rsidP="00212691">
      <w:pPr>
        <w:pStyle w:val="ListParagraph"/>
        <w:numPr>
          <w:ilvl w:val="0"/>
          <w:numId w:val="16"/>
        </w:numPr>
        <w:spacing w:line="276" w:lineRule="auto"/>
        <w:ind w:left="360"/>
        <w:rPr>
          <w:sz w:val="22"/>
          <w:szCs w:val="22"/>
        </w:rPr>
      </w:pPr>
      <w:r w:rsidRPr="001263DD">
        <w:rPr>
          <w:i/>
          <w:iCs/>
          <w:sz w:val="22"/>
          <w:szCs w:val="22"/>
        </w:rPr>
        <w:lastRenderedPageBreak/>
        <w:t>Industry benchmarks and market studies</w:t>
      </w:r>
      <w:r>
        <w:rPr>
          <w:sz w:val="22"/>
          <w:szCs w:val="22"/>
        </w:rPr>
        <w:t>.</w:t>
      </w:r>
      <w:r w:rsidRPr="001263DD">
        <w:rPr>
          <w:sz w:val="22"/>
          <w:szCs w:val="22"/>
        </w:rPr>
        <w:t xml:space="preserve"> In some cases, particularly for newer franchise systems or those entering new markets, industry-wide benchmarks and third-party market studies can supplement or provide context for </w:t>
      </w:r>
      <w:r w:rsidR="000B2BB4">
        <w:rPr>
          <w:sz w:val="22"/>
          <w:szCs w:val="22"/>
        </w:rPr>
        <w:t>Earnings Projection</w:t>
      </w:r>
      <w:r w:rsidRPr="001263DD">
        <w:rPr>
          <w:sz w:val="22"/>
          <w:szCs w:val="22"/>
        </w:rPr>
        <w:t>s. However, industry data should generally be used to support rather than replace system-specific performance data.</w:t>
      </w:r>
    </w:p>
    <w:p w14:paraId="2703BC9E" w14:textId="77777777" w:rsidR="001263DD" w:rsidRPr="001263DD" w:rsidRDefault="001263DD" w:rsidP="006A2E2E">
      <w:pPr>
        <w:pStyle w:val="ListParagraph"/>
        <w:spacing w:line="276" w:lineRule="auto"/>
        <w:ind w:left="360"/>
        <w:rPr>
          <w:sz w:val="22"/>
          <w:szCs w:val="22"/>
        </w:rPr>
      </w:pPr>
    </w:p>
    <w:p w14:paraId="302BA0E6" w14:textId="1984F282" w:rsidR="001263DD" w:rsidRPr="001263DD" w:rsidRDefault="001263DD" w:rsidP="00212691">
      <w:pPr>
        <w:pStyle w:val="ListParagraph"/>
        <w:numPr>
          <w:ilvl w:val="0"/>
          <w:numId w:val="16"/>
        </w:numPr>
        <w:spacing w:line="276" w:lineRule="auto"/>
        <w:ind w:left="360"/>
        <w:rPr>
          <w:sz w:val="22"/>
          <w:szCs w:val="22"/>
        </w:rPr>
      </w:pPr>
      <w:r w:rsidRPr="001263DD">
        <w:rPr>
          <w:i/>
          <w:iCs/>
          <w:sz w:val="22"/>
          <w:szCs w:val="22"/>
        </w:rPr>
        <w:t>Hybrid approaches</w:t>
      </w:r>
      <w:r>
        <w:rPr>
          <w:sz w:val="22"/>
          <w:szCs w:val="22"/>
        </w:rPr>
        <w:t>.</w:t>
      </w:r>
      <w:r w:rsidRPr="001263DD">
        <w:rPr>
          <w:sz w:val="22"/>
          <w:szCs w:val="22"/>
        </w:rPr>
        <w:t xml:space="preserve"> Many franchisors find that the most credible and defensible </w:t>
      </w:r>
      <w:r w:rsidR="000B2BB4">
        <w:rPr>
          <w:sz w:val="22"/>
          <w:szCs w:val="22"/>
        </w:rPr>
        <w:t>Earnings Projection</w:t>
      </w:r>
      <w:r w:rsidRPr="001263DD">
        <w:rPr>
          <w:sz w:val="22"/>
          <w:szCs w:val="22"/>
        </w:rPr>
        <w:t>s combine multiple data sources</w:t>
      </w:r>
      <w:r>
        <w:rPr>
          <w:sz w:val="22"/>
          <w:szCs w:val="22"/>
        </w:rPr>
        <w:t xml:space="preserve"> – </w:t>
      </w:r>
      <w:r w:rsidRPr="001263DD">
        <w:rPr>
          <w:sz w:val="22"/>
          <w:szCs w:val="22"/>
        </w:rPr>
        <w:t>for example, projections based primarily on the historical performance of existing franchisees, supplemented by industry benchmarks for cost categories where system-specific data is limited.</w:t>
      </w:r>
    </w:p>
    <w:p w14:paraId="14C86ACE" w14:textId="7EC9143E" w:rsidR="001263DD" w:rsidRDefault="001263DD" w:rsidP="00212691">
      <w:pPr>
        <w:spacing w:line="276" w:lineRule="auto"/>
        <w:rPr>
          <w:sz w:val="22"/>
          <w:szCs w:val="22"/>
        </w:rPr>
      </w:pPr>
      <w:r w:rsidRPr="001263DD">
        <w:rPr>
          <w:sz w:val="22"/>
          <w:szCs w:val="22"/>
        </w:rPr>
        <w:t xml:space="preserve">The number of </w:t>
      </w:r>
      <w:r w:rsidR="00E01DE0">
        <w:rPr>
          <w:sz w:val="22"/>
          <w:szCs w:val="22"/>
        </w:rPr>
        <w:t xml:space="preserve">franchised business </w:t>
      </w:r>
      <w:r w:rsidRPr="001263DD">
        <w:rPr>
          <w:sz w:val="22"/>
          <w:szCs w:val="22"/>
        </w:rPr>
        <w:t xml:space="preserve">units included in the data set underlying </w:t>
      </w:r>
      <w:r w:rsidR="000B2BB4">
        <w:rPr>
          <w:sz w:val="22"/>
          <w:szCs w:val="22"/>
        </w:rPr>
        <w:t>Earnings Projection</w:t>
      </w:r>
      <w:r w:rsidRPr="001263DD">
        <w:rPr>
          <w:sz w:val="22"/>
          <w:szCs w:val="22"/>
        </w:rPr>
        <w:t xml:space="preserve">s is a critical consideration. Projections based on a single </w:t>
      </w:r>
      <w:proofErr w:type="gramStart"/>
      <w:r w:rsidRPr="001263DD">
        <w:rPr>
          <w:sz w:val="22"/>
          <w:szCs w:val="22"/>
        </w:rPr>
        <w:t>unit</w:t>
      </w:r>
      <w:proofErr w:type="gramEnd"/>
      <w:r w:rsidRPr="001263DD">
        <w:rPr>
          <w:sz w:val="22"/>
          <w:szCs w:val="22"/>
        </w:rPr>
        <w:t xml:space="preserve"> or a very small sample may lack statistical validity and may not be representative of typical franchisee experience. Best practices suggest using the largest representative sample possible, clearly disclosing the number of </w:t>
      </w:r>
      <w:r w:rsidR="00E01DE0">
        <w:rPr>
          <w:sz w:val="22"/>
          <w:szCs w:val="22"/>
        </w:rPr>
        <w:t xml:space="preserve">franchised business </w:t>
      </w:r>
      <w:r w:rsidRPr="001263DD">
        <w:rPr>
          <w:sz w:val="22"/>
          <w:szCs w:val="22"/>
        </w:rPr>
        <w:t>units included, explaining any criteria used to select or exclude units, and providing context about the distribution of performance across the system.</w:t>
      </w:r>
    </w:p>
    <w:p w14:paraId="4829CF87" w14:textId="2D77C098" w:rsidR="001263DD" w:rsidRDefault="001263DD" w:rsidP="00212691">
      <w:pPr>
        <w:spacing w:line="276" w:lineRule="auto"/>
        <w:rPr>
          <w:sz w:val="22"/>
          <w:szCs w:val="22"/>
        </w:rPr>
      </w:pPr>
      <w:r w:rsidRPr="001263DD">
        <w:rPr>
          <w:sz w:val="22"/>
          <w:szCs w:val="22"/>
        </w:rPr>
        <w:t xml:space="preserve">The selection of the </w:t>
      </w:r>
      <w:proofErr w:type="gramStart"/>
      <w:r w:rsidRPr="001263DD">
        <w:rPr>
          <w:sz w:val="22"/>
          <w:szCs w:val="22"/>
        </w:rPr>
        <w:t>time period</w:t>
      </w:r>
      <w:proofErr w:type="gramEnd"/>
      <w:r w:rsidRPr="001263DD">
        <w:rPr>
          <w:sz w:val="22"/>
          <w:szCs w:val="22"/>
        </w:rPr>
        <w:t xml:space="preserve"> on which </w:t>
      </w:r>
      <w:r w:rsidR="000B2BB4">
        <w:rPr>
          <w:sz w:val="22"/>
          <w:szCs w:val="22"/>
        </w:rPr>
        <w:t>Earnings Projection</w:t>
      </w:r>
      <w:r w:rsidRPr="001263DD">
        <w:rPr>
          <w:sz w:val="22"/>
          <w:szCs w:val="22"/>
        </w:rPr>
        <w:t>s are based is particularly challenging in unstable economic times. Franchisors must balance recency versus representativeness. A common approach is to use the most recent complete fiscal year as the primary basis for projections, supplemented by multi-year trend data to provide context. For systems that experienced significant pandemic-related disruption, many franchisors have found it appropriate to present both pre-pandemic, pandemic-period, and post-pandemic recovery data to give prospective franchisees a complete picture of system performance through varying conditions.</w:t>
      </w:r>
    </w:p>
    <w:p w14:paraId="1D46E987" w14:textId="4E344DFE" w:rsidR="00E01DE0" w:rsidRPr="00F83DA1" w:rsidRDefault="00E01DE0" w:rsidP="00212691">
      <w:pPr>
        <w:pStyle w:val="ListParagraph"/>
        <w:numPr>
          <w:ilvl w:val="0"/>
          <w:numId w:val="28"/>
        </w:numPr>
        <w:spacing w:line="276" w:lineRule="auto"/>
        <w:ind w:hanging="720"/>
        <w:rPr>
          <w:i/>
          <w:iCs/>
          <w:sz w:val="22"/>
          <w:szCs w:val="22"/>
        </w:rPr>
      </w:pPr>
      <w:r w:rsidRPr="00F83DA1">
        <w:rPr>
          <w:i/>
          <w:iCs/>
          <w:sz w:val="22"/>
          <w:szCs w:val="22"/>
        </w:rPr>
        <w:t>Articulating Clear and Defensible Assumptions</w:t>
      </w:r>
    </w:p>
    <w:p w14:paraId="4479AEF1" w14:textId="1A4820AC" w:rsidR="00E01DE0" w:rsidRPr="00E01DE0" w:rsidRDefault="00E01DE0" w:rsidP="00212691">
      <w:pPr>
        <w:spacing w:line="276" w:lineRule="auto"/>
        <w:rPr>
          <w:sz w:val="22"/>
          <w:szCs w:val="22"/>
        </w:rPr>
      </w:pPr>
      <w:r w:rsidRPr="00E01DE0">
        <w:rPr>
          <w:sz w:val="22"/>
          <w:szCs w:val="22"/>
        </w:rPr>
        <w:t xml:space="preserve">The </w:t>
      </w:r>
      <w:r>
        <w:rPr>
          <w:sz w:val="22"/>
          <w:szCs w:val="22"/>
        </w:rPr>
        <w:t xml:space="preserve">second requirement under the </w:t>
      </w:r>
      <w:r w:rsidRPr="00E01DE0">
        <w:rPr>
          <w:sz w:val="22"/>
          <w:szCs w:val="22"/>
        </w:rPr>
        <w:t xml:space="preserve">Regulation </w:t>
      </w:r>
      <w:r>
        <w:rPr>
          <w:sz w:val="22"/>
          <w:szCs w:val="22"/>
        </w:rPr>
        <w:t xml:space="preserve">is </w:t>
      </w:r>
      <w:r w:rsidRPr="00E01DE0">
        <w:rPr>
          <w:sz w:val="22"/>
          <w:szCs w:val="22"/>
        </w:rPr>
        <w:t xml:space="preserve">that </w:t>
      </w:r>
      <w:r w:rsidR="000B2BB4">
        <w:rPr>
          <w:sz w:val="22"/>
          <w:szCs w:val="22"/>
        </w:rPr>
        <w:t>Earnings Projection</w:t>
      </w:r>
      <w:r w:rsidRPr="00E01DE0">
        <w:rPr>
          <w:sz w:val="22"/>
          <w:szCs w:val="22"/>
        </w:rPr>
        <w:t xml:space="preserve">s </w:t>
      </w:r>
      <w:r>
        <w:rPr>
          <w:sz w:val="22"/>
          <w:szCs w:val="22"/>
        </w:rPr>
        <w:t xml:space="preserve">must </w:t>
      </w:r>
      <w:r w:rsidRPr="00E01DE0">
        <w:rPr>
          <w:sz w:val="22"/>
          <w:szCs w:val="22"/>
        </w:rPr>
        <w:t>be accompanied by a statement of the assumptions underlying the projection. The assumptions statement is critical because it defines the conditions under which the projected results might be achieved and helps prospective franchisees understand the variables that may affect their individual results.</w:t>
      </w:r>
    </w:p>
    <w:p w14:paraId="0B3937A9" w14:textId="74061A22" w:rsidR="00E01DE0" w:rsidRPr="00E01DE0" w:rsidRDefault="00E01DE0" w:rsidP="00212691">
      <w:pPr>
        <w:spacing w:line="276" w:lineRule="auto"/>
        <w:rPr>
          <w:sz w:val="22"/>
          <w:szCs w:val="22"/>
        </w:rPr>
      </w:pPr>
      <w:r w:rsidRPr="00E01DE0">
        <w:rPr>
          <w:sz w:val="22"/>
          <w:szCs w:val="22"/>
        </w:rPr>
        <w:t xml:space="preserve">Comprehensive </w:t>
      </w:r>
      <w:r w:rsidR="000B2BB4">
        <w:rPr>
          <w:sz w:val="22"/>
          <w:szCs w:val="22"/>
        </w:rPr>
        <w:t>Earnings Projection</w:t>
      </w:r>
      <w:r w:rsidRPr="00E01DE0">
        <w:rPr>
          <w:sz w:val="22"/>
          <w:szCs w:val="22"/>
        </w:rPr>
        <w:t xml:space="preserve">s should articulate assumptions in several key categories: </w:t>
      </w:r>
      <w:r w:rsidRPr="00620F7D">
        <w:rPr>
          <w:i/>
          <w:iCs/>
          <w:sz w:val="22"/>
          <w:szCs w:val="22"/>
        </w:rPr>
        <w:t>economic conditions and market factors</w:t>
      </w:r>
      <w:r w:rsidRPr="00E01DE0">
        <w:rPr>
          <w:sz w:val="22"/>
          <w:szCs w:val="22"/>
        </w:rPr>
        <w:t xml:space="preserve"> (consumer demand levels, competitive intensity, pricing levels, inflation rates, interest rates, and the regulatory environment); </w:t>
      </w:r>
      <w:r w:rsidRPr="00620F7D">
        <w:rPr>
          <w:i/>
          <w:iCs/>
          <w:sz w:val="22"/>
          <w:szCs w:val="22"/>
        </w:rPr>
        <w:t>operational assumptions</w:t>
      </w:r>
      <w:r w:rsidRPr="00E01DE0">
        <w:rPr>
          <w:sz w:val="22"/>
          <w:szCs w:val="22"/>
        </w:rPr>
        <w:t xml:space="preserve"> (hours of operation, staffing levels and labour productivity, capacity utilisation rates, product mix and service offerings, and operational efficiency); </w:t>
      </w:r>
      <w:r w:rsidRPr="008B65CE">
        <w:rPr>
          <w:i/>
          <w:iCs/>
          <w:sz w:val="22"/>
          <w:szCs w:val="22"/>
        </w:rPr>
        <w:t>geographic and demographic variables</w:t>
      </w:r>
      <w:r w:rsidRPr="00E01DE0">
        <w:rPr>
          <w:sz w:val="22"/>
          <w:szCs w:val="22"/>
        </w:rPr>
        <w:t xml:space="preserve"> (population density and demographics, local economic conditions, real estate costs and lease terms, local labour market conditions, and climate and seasonal factors); </w:t>
      </w:r>
      <w:r w:rsidRPr="008B65CE">
        <w:rPr>
          <w:i/>
          <w:iCs/>
          <w:sz w:val="22"/>
          <w:szCs w:val="22"/>
        </w:rPr>
        <w:t>franchisee skill and effort levels</w:t>
      </w:r>
      <w:r w:rsidRPr="00E01DE0">
        <w:rPr>
          <w:sz w:val="22"/>
          <w:szCs w:val="22"/>
        </w:rPr>
        <w:t xml:space="preserve"> (prior business or industry experience, time commitment and personal involvement, management and leadership capabilities, and adherence to system standards and best practices); and </w:t>
      </w:r>
      <w:r w:rsidRPr="008B65CE">
        <w:rPr>
          <w:i/>
          <w:iCs/>
          <w:sz w:val="22"/>
          <w:szCs w:val="22"/>
        </w:rPr>
        <w:t>start-up period and ramp-up timelines</w:t>
      </w:r>
      <w:r w:rsidRPr="00E01DE0">
        <w:rPr>
          <w:sz w:val="22"/>
          <w:szCs w:val="22"/>
        </w:rPr>
        <w:t xml:space="preserve"> (time required to reach break-even, timeline for achieving projected performance levels, seasonal factors affecting the start-up period, and learning curve improvements over time).</w:t>
      </w:r>
    </w:p>
    <w:p w14:paraId="2D18F549" w14:textId="72CC28AA" w:rsidR="00E01DE0" w:rsidRPr="00E01DE0" w:rsidRDefault="00E01DE0" w:rsidP="00212691">
      <w:pPr>
        <w:spacing w:line="276" w:lineRule="auto"/>
        <w:rPr>
          <w:sz w:val="22"/>
          <w:szCs w:val="22"/>
        </w:rPr>
      </w:pPr>
      <w:r w:rsidRPr="00E01DE0">
        <w:rPr>
          <w:sz w:val="22"/>
          <w:szCs w:val="22"/>
        </w:rPr>
        <w:t xml:space="preserve">It is important to understand that assumptions and disclaimers serve different functions and should not be conflated. Assumptions define the specific conditions under which the projected results might be achieved; </w:t>
      </w:r>
      <w:r w:rsidRPr="00E01DE0">
        <w:rPr>
          <w:sz w:val="22"/>
          <w:szCs w:val="22"/>
        </w:rPr>
        <w:lastRenderedPageBreak/>
        <w:t xml:space="preserve">they are an integral part of the projection itself. Disclaimers, by contrast, are statements that warn prospective franchisees about the limitations of the projections and the risks of relying on them. Effective assumptions are specific, measurable, and directly related to the financial projections. For example, a good assumption states: </w:t>
      </w:r>
      <w:r w:rsidR="000946DC">
        <w:rPr>
          <w:sz w:val="22"/>
          <w:szCs w:val="22"/>
        </w:rPr>
        <w:t>“</w:t>
      </w:r>
      <w:r w:rsidRPr="00E01DE0">
        <w:rPr>
          <w:sz w:val="22"/>
          <w:szCs w:val="22"/>
        </w:rPr>
        <w:t>Projections assume a location with a trade area population of at least 50,000 within a 5-mile radius, with median household income of $75,000 or higher.</w:t>
      </w:r>
      <w:r w:rsidR="000946DC">
        <w:rPr>
          <w:sz w:val="22"/>
          <w:szCs w:val="22"/>
        </w:rPr>
        <w:t>”</w:t>
      </w:r>
      <w:r w:rsidRPr="00E01DE0">
        <w:rPr>
          <w:sz w:val="22"/>
          <w:szCs w:val="22"/>
        </w:rPr>
        <w:t xml:space="preserve"> A poor assumption (really a disclaimer) states: </w:t>
      </w:r>
      <w:r w:rsidR="000946DC">
        <w:rPr>
          <w:sz w:val="22"/>
          <w:szCs w:val="22"/>
        </w:rPr>
        <w:t>“</w:t>
      </w:r>
      <w:r w:rsidRPr="00E01DE0">
        <w:rPr>
          <w:sz w:val="22"/>
          <w:szCs w:val="22"/>
        </w:rPr>
        <w:t>Results may vary depending on location and market conditions.</w:t>
      </w:r>
      <w:r w:rsidR="000946DC">
        <w:rPr>
          <w:sz w:val="22"/>
          <w:szCs w:val="22"/>
        </w:rPr>
        <w:t>”</w:t>
      </w:r>
    </w:p>
    <w:p w14:paraId="683C9805" w14:textId="3186AF69" w:rsidR="00E01DE0" w:rsidRDefault="00E01DE0" w:rsidP="00212691">
      <w:pPr>
        <w:spacing w:line="276" w:lineRule="auto"/>
        <w:rPr>
          <w:sz w:val="22"/>
          <w:szCs w:val="22"/>
        </w:rPr>
      </w:pPr>
      <w:r w:rsidRPr="00E01DE0">
        <w:rPr>
          <w:sz w:val="22"/>
          <w:szCs w:val="22"/>
        </w:rPr>
        <w:t>In periods of economic volatility and uncertainty, the selection of assumptions takes on heightened importance. Best practices in uncertain times favour conservative assumptions that reflect current market conditions rather than pre-disruption performance, account for ongoing uncertainties and potential headwinds, avoid assuming rapid return to historical norms without basis, and incorporate appropriate risk buffers for cost volatility.</w:t>
      </w:r>
    </w:p>
    <w:p w14:paraId="4624BF5B" w14:textId="2C4A2EBD" w:rsidR="003C35C6" w:rsidRPr="003C35C6" w:rsidRDefault="003C35C6" w:rsidP="00212691">
      <w:pPr>
        <w:pStyle w:val="ListParagraph"/>
        <w:numPr>
          <w:ilvl w:val="0"/>
          <w:numId w:val="28"/>
        </w:numPr>
        <w:spacing w:line="276" w:lineRule="auto"/>
        <w:ind w:left="360"/>
        <w:rPr>
          <w:i/>
          <w:iCs/>
          <w:sz w:val="22"/>
          <w:szCs w:val="22"/>
        </w:rPr>
      </w:pPr>
      <w:r w:rsidRPr="003C35C6">
        <w:rPr>
          <w:i/>
          <w:iCs/>
          <w:sz w:val="22"/>
          <w:szCs w:val="22"/>
        </w:rPr>
        <w:t>Determining the Scope and Format of Projections</w:t>
      </w:r>
    </w:p>
    <w:p w14:paraId="0ACDD70F" w14:textId="214F6F2E" w:rsidR="003C35C6" w:rsidRPr="003C35C6" w:rsidRDefault="003C35C6" w:rsidP="00212691">
      <w:pPr>
        <w:spacing w:line="276" w:lineRule="auto"/>
        <w:rPr>
          <w:sz w:val="22"/>
          <w:szCs w:val="22"/>
        </w:rPr>
      </w:pPr>
      <w:r w:rsidRPr="003C35C6">
        <w:rPr>
          <w:sz w:val="22"/>
          <w:szCs w:val="22"/>
        </w:rPr>
        <w:t xml:space="preserve">Beyond the substantive content of </w:t>
      </w:r>
      <w:r w:rsidR="000B2BB4">
        <w:rPr>
          <w:sz w:val="22"/>
          <w:szCs w:val="22"/>
        </w:rPr>
        <w:t>Earnings Projection</w:t>
      </w:r>
      <w:r w:rsidRPr="003C35C6">
        <w:rPr>
          <w:sz w:val="22"/>
          <w:szCs w:val="22"/>
        </w:rPr>
        <w:t>s, franchisors must make important decisions about the scope and format of the information presented. Franchisors must decide whether to provide revenue projections only (simpler to substantiate but providing limited value) or comprehensive profit projections (more valuable to prospective franchisees but requiring more extensive substantiation and more detailed assumptions).</w:t>
      </w:r>
    </w:p>
    <w:p w14:paraId="15C01B7D" w14:textId="279430FA" w:rsidR="003C35C6" w:rsidRPr="003C35C6" w:rsidRDefault="003C35C6" w:rsidP="00212691">
      <w:pPr>
        <w:spacing w:line="276" w:lineRule="auto"/>
        <w:rPr>
          <w:sz w:val="22"/>
          <w:szCs w:val="22"/>
        </w:rPr>
      </w:pPr>
      <w:r>
        <w:rPr>
          <w:sz w:val="22"/>
          <w:szCs w:val="22"/>
        </w:rPr>
        <w:t xml:space="preserve">As </w:t>
      </w:r>
      <w:r w:rsidR="005A3A43">
        <w:rPr>
          <w:sz w:val="22"/>
          <w:szCs w:val="22"/>
        </w:rPr>
        <w:t xml:space="preserve">discussed above, </w:t>
      </w:r>
      <w:r>
        <w:rPr>
          <w:sz w:val="22"/>
          <w:szCs w:val="22"/>
        </w:rPr>
        <w:t>the</w:t>
      </w:r>
      <w:r w:rsidRPr="003C35C6">
        <w:rPr>
          <w:sz w:val="22"/>
          <w:szCs w:val="22"/>
        </w:rPr>
        <w:t xml:space="preserve"> court </w:t>
      </w:r>
      <w:r>
        <w:rPr>
          <w:sz w:val="22"/>
          <w:szCs w:val="22"/>
        </w:rPr>
        <w:t xml:space="preserve">emphasized </w:t>
      </w:r>
      <w:r w:rsidRPr="003C35C6">
        <w:rPr>
          <w:sz w:val="22"/>
          <w:szCs w:val="22"/>
        </w:rPr>
        <w:t>in</w:t>
      </w:r>
      <w:r w:rsidR="00355C93">
        <w:rPr>
          <w:sz w:val="22"/>
          <w:szCs w:val="22"/>
        </w:rPr>
        <w:t xml:space="preserve"> </w:t>
      </w:r>
      <w:r w:rsidR="00355C93" w:rsidRPr="00355C93">
        <w:rPr>
          <w:i/>
          <w:iCs/>
          <w:sz w:val="22"/>
          <w:szCs w:val="22"/>
        </w:rPr>
        <w:t>Global Diaper</w:t>
      </w:r>
      <w:r w:rsidRPr="003C35C6">
        <w:rPr>
          <w:sz w:val="22"/>
          <w:szCs w:val="22"/>
        </w:rPr>
        <w:t xml:space="preserve"> </w:t>
      </w:r>
      <w:r>
        <w:rPr>
          <w:sz w:val="22"/>
          <w:szCs w:val="22"/>
        </w:rPr>
        <w:t>t</w:t>
      </w:r>
      <w:r w:rsidRPr="003C35C6">
        <w:rPr>
          <w:sz w:val="22"/>
          <w:szCs w:val="22"/>
        </w:rPr>
        <w:t>h</w:t>
      </w:r>
      <w:r>
        <w:rPr>
          <w:sz w:val="22"/>
          <w:szCs w:val="22"/>
        </w:rPr>
        <w:t>e</w:t>
      </w:r>
      <w:r w:rsidRPr="003C35C6">
        <w:rPr>
          <w:sz w:val="22"/>
          <w:szCs w:val="22"/>
        </w:rPr>
        <w:t xml:space="preserve"> financial projections are a pivotal component of the disclosure package, enabling prospective franchisees to assess the financial viability of their investment. To truly enable informed decision-making, franchisors should consider providing transparency about the percentage of franchisees who achieved or exceeded the projected results, the range between top-performing and bottom-performing units, any significant outliers and the factors contributing to their exceptional performance, and unit closure rates.</w:t>
      </w:r>
    </w:p>
    <w:p w14:paraId="05EB575E" w14:textId="1C1D3715" w:rsidR="003C35C6" w:rsidRPr="003C35C6" w:rsidRDefault="003C35C6" w:rsidP="00212691">
      <w:pPr>
        <w:spacing w:line="276" w:lineRule="auto"/>
        <w:rPr>
          <w:sz w:val="22"/>
          <w:szCs w:val="22"/>
        </w:rPr>
      </w:pPr>
      <w:r w:rsidRPr="003C35C6">
        <w:rPr>
          <w:sz w:val="22"/>
          <w:szCs w:val="22"/>
        </w:rPr>
        <w:t xml:space="preserve">Different time horizons serve different analytical purposes. First-year projections are critical for prospective franchisees to understand start-up challenges, initial capital requirements, and the timeline to profitability, accounting for pre-opening expenses, grand opening marketing costs, ramp-up period with below-steady-state </w:t>
      </w:r>
      <w:r w:rsidR="00533B40" w:rsidRPr="003C35C6">
        <w:rPr>
          <w:sz w:val="22"/>
          <w:szCs w:val="22"/>
        </w:rPr>
        <w:t>revenues and</w:t>
      </w:r>
      <w:r w:rsidRPr="003C35C6">
        <w:rPr>
          <w:sz w:val="22"/>
          <w:szCs w:val="22"/>
        </w:rPr>
        <w:t xml:space="preserve"> learning curve inefficiencies. Steady-state projections represent the expected performance of a mature, well-established franchise location operating under normal conditions. Many franchisors find it effective to provide both first-year and steady-state projections, with clear explanation of the differences and the expected timeline for transition.</w:t>
      </w:r>
    </w:p>
    <w:p w14:paraId="7E11B10A" w14:textId="40F90AA4" w:rsidR="003C35C6" w:rsidRDefault="003C35C6" w:rsidP="00212691">
      <w:pPr>
        <w:spacing w:line="276" w:lineRule="auto"/>
        <w:rPr>
          <w:sz w:val="22"/>
          <w:szCs w:val="22"/>
        </w:rPr>
      </w:pPr>
      <w:r>
        <w:rPr>
          <w:sz w:val="22"/>
          <w:szCs w:val="22"/>
        </w:rPr>
        <w:t>As stated above,</w:t>
      </w:r>
      <w:r w:rsidRPr="003C35C6">
        <w:rPr>
          <w:sz w:val="22"/>
          <w:szCs w:val="22"/>
        </w:rPr>
        <w:t xml:space="preserve"> courts have held that graphical representations of franchisee earnings qualify as financial projections and trigger the full scope of required statements under the Regulation. This means that any visual presentation of financial information must be accompanied by all required disclosures regarding </w:t>
      </w:r>
      <w:r>
        <w:rPr>
          <w:sz w:val="22"/>
          <w:szCs w:val="22"/>
        </w:rPr>
        <w:t xml:space="preserve">reasonable </w:t>
      </w:r>
      <w:r w:rsidRPr="003C35C6">
        <w:rPr>
          <w:sz w:val="22"/>
          <w:szCs w:val="22"/>
        </w:rPr>
        <w:t>basis, assumptions, and location of substantiating information.</w:t>
      </w:r>
    </w:p>
    <w:p w14:paraId="49F46B64" w14:textId="57E342A5" w:rsidR="003C35C6" w:rsidRPr="003C35C6" w:rsidRDefault="003C35C6" w:rsidP="00212691">
      <w:pPr>
        <w:spacing w:line="276" w:lineRule="auto"/>
        <w:rPr>
          <w:b/>
          <w:bCs/>
          <w:i/>
          <w:iCs/>
          <w:sz w:val="22"/>
          <w:szCs w:val="22"/>
        </w:rPr>
      </w:pPr>
      <w:r w:rsidRPr="003C35C6">
        <w:rPr>
          <w:b/>
          <w:bCs/>
          <w:i/>
          <w:iCs/>
          <w:sz w:val="22"/>
          <w:szCs w:val="22"/>
        </w:rPr>
        <w:t>The Critical Compliance Requirements</w:t>
      </w:r>
    </w:p>
    <w:p w14:paraId="40C8C07B" w14:textId="5FC94085" w:rsidR="003C35C6" w:rsidRPr="003C35C6" w:rsidRDefault="003C35C6" w:rsidP="00212691">
      <w:pPr>
        <w:pStyle w:val="ListParagraph"/>
        <w:numPr>
          <w:ilvl w:val="0"/>
          <w:numId w:val="19"/>
        </w:numPr>
        <w:spacing w:line="276" w:lineRule="auto"/>
        <w:rPr>
          <w:i/>
          <w:iCs/>
          <w:sz w:val="22"/>
          <w:szCs w:val="22"/>
        </w:rPr>
      </w:pPr>
      <w:r w:rsidRPr="003C35C6">
        <w:rPr>
          <w:i/>
          <w:iCs/>
          <w:sz w:val="22"/>
          <w:szCs w:val="22"/>
        </w:rPr>
        <w:t>The Location Statement: Avoiding the Fatal Flaw</w:t>
      </w:r>
    </w:p>
    <w:p w14:paraId="708D10C3" w14:textId="777DBD52" w:rsidR="003C35C6" w:rsidRPr="003C35C6" w:rsidRDefault="000946DC" w:rsidP="00212691">
      <w:pPr>
        <w:spacing w:line="276" w:lineRule="auto"/>
        <w:rPr>
          <w:sz w:val="22"/>
          <w:szCs w:val="22"/>
        </w:rPr>
      </w:pPr>
      <w:r w:rsidRPr="000946DC">
        <w:rPr>
          <w:sz w:val="22"/>
          <w:szCs w:val="22"/>
        </w:rPr>
        <w:t xml:space="preserve">As demonstrated in </w:t>
      </w:r>
      <w:r w:rsidR="003C35C6" w:rsidRPr="003C35C6">
        <w:rPr>
          <w:i/>
          <w:iCs/>
          <w:sz w:val="22"/>
          <w:szCs w:val="22"/>
        </w:rPr>
        <w:t>Global Diaper</w:t>
      </w:r>
      <w:r w:rsidR="003C35C6" w:rsidRPr="003C35C6">
        <w:rPr>
          <w:sz w:val="22"/>
          <w:szCs w:val="22"/>
        </w:rPr>
        <w:t xml:space="preserve">, the </w:t>
      </w:r>
      <w:r>
        <w:rPr>
          <w:sz w:val="22"/>
          <w:szCs w:val="22"/>
        </w:rPr>
        <w:t xml:space="preserve">omission </w:t>
      </w:r>
      <w:r w:rsidR="003C35C6" w:rsidRPr="003C35C6">
        <w:rPr>
          <w:sz w:val="22"/>
          <w:szCs w:val="22"/>
        </w:rPr>
        <w:t xml:space="preserve">of a statement specifying the location where substantiating information </w:t>
      </w:r>
      <w:r>
        <w:rPr>
          <w:sz w:val="22"/>
          <w:szCs w:val="22"/>
        </w:rPr>
        <w:t xml:space="preserve">(for </w:t>
      </w:r>
      <w:r w:rsidR="000B2BB4">
        <w:rPr>
          <w:sz w:val="22"/>
          <w:szCs w:val="22"/>
        </w:rPr>
        <w:t>Earnings Projection</w:t>
      </w:r>
      <w:r>
        <w:rPr>
          <w:sz w:val="22"/>
          <w:szCs w:val="22"/>
        </w:rPr>
        <w:t>s) can</w:t>
      </w:r>
      <w:r w:rsidR="003C35C6" w:rsidRPr="003C35C6">
        <w:rPr>
          <w:sz w:val="22"/>
          <w:szCs w:val="22"/>
        </w:rPr>
        <w:t xml:space="preserve"> be inspected</w:t>
      </w:r>
      <w:r>
        <w:rPr>
          <w:sz w:val="22"/>
          <w:szCs w:val="22"/>
        </w:rPr>
        <w:t xml:space="preserve"> constitutes </w:t>
      </w:r>
      <w:r w:rsidR="003C35C6" w:rsidRPr="003C35C6">
        <w:rPr>
          <w:sz w:val="22"/>
          <w:szCs w:val="22"/>
        </w:rPr>
        <w:t>a material deficiency</w:t>
      </w:r>
      <w:r>
        <w:rPr>
          <w:sz w:val="22"/>
          <w:szCs w:val="22"/>
        </w:rPr>
        <w:t>, which in that case</w:t>
      </w:r>
      <w:r w:rsidR="003C35C6" w:rsidRPr="003C35C6">
        <w:rPr>
          <w:sz w:val="22"/>
          <w:szCs w:val="22"/>
        </w:rPr>
        <w:t xml:space="preserve"> </w:t>
      </w:r>
      <w:r w:rsidR="003C35C6" w:rsidRPr="003C35C6">
        <w:rPr>
          <w:sz w:val="22"/>
          <w:szCs w:val="22"/>
        </w:rPr>
        <w:lastRenderedPageBreak/>
        <w:t xml:space="preserve">rendered the disclosure so incomplete </w:t>
      </w:r>
      <w:r>
        <w:rPr>
          <w:sz w:val="22"/>
          <w:szCs w:val="22"/>
        </w:rPr>
        <w:t>as to amount</w:t>
      </w:r>
      <w:r w:rsidR="003C35C6" w:rsidRPr="003C35C6">
        <w:rPr>
          <w:sz w:val="22"/>
          <w:szCs w:val="22"/>
        </w:rPr>
        <w:t xml:space="preserve"> to </w:t>
      </w:r>
      <w:r>
        <w:rPr>
          <w:sz w:val="22"/>
          <w:szCs w:val="22"/>
        </w:rPr>
        <w:t>“</w:t>
      </w:r>
      <w:r w:rsidR="003C35C6" w:rsidRPr="003C35C6">
        <w:rPr>
          <w:sz w:val="22"/>
          <w:szCs w:val="22"/>
        </w:rPr>
        <w:t>no disclosure</w:t>
      </w:r>
      <w:r>
        <w:rPr>
          <w:sz w:val="22"/>
          <w:szCs w:val="22"/>
        </w:rPr>
        <w:t>”</w:t>
      </w:r>
      <w:r w:rsidR="003C35C6" w:rsidRPr="003C35C6">
        <w:rPr>
          <w:sz w:val="22"/>
          <w:szCs w:val="22"/>
        </w:rPr>
        <w:t xml:space="preserve"> under the Act, thereby entitling the franchisee to rescission.</w:t>
      </w:r>
    </w:p>
    <w:p w14:paraId="6EC90020" w14:textId="05188B57" w:rsidR="003C35C6" w:rsidRPr="003C35C6" w:rsidRDefault="003C35C6" w:rsidP="00212691">
      <w:pPr>
        <w:spacing w:line="276" w:lineRule="auto"/>
        <w:rPr>
          <w:sz w:val="22"/>
          <w:szCs w:val="22"/>
        </w:rPr>
      </w:pPr>
      <w:r w:rsidRPr="003C35C6">
        <w:rPr>
          <w:sz w:val="22"/>
          <w:szCs w:val="22"/>
        </w:rPr>
        <w:t xml:space="preserve">Despite the clear importance of this requirement, it remains one of the most common compliance failures. Section 6(3) of the Regulation requires a statement specifying the location where substantiating information is available for inspection. The location statement must be specific and actionable. Vague or general statements such as </w:t>
      </w:r>
      <w:r w:rsidR="000946DC">
        <w:rPr>
          <w:sz w:val="22"/>
          <w:szCs w:val="22"/>
        </w:rPr>
        <w:t>“</w:t>
      </w:r>
      <w:r w:rsidRPr="003C35C6">
        <w:rPr>
          <w:sz w:val="22"/>
          <w:szCs w:val="22"/>
        </w:rPr>
        <w:t>Substantiating information is available at the franchisor's offices</w:t>
      </w:r>
      <w:r w:rsidR="000946DC">
        <w:rPr>
          <w:sz w:val="22"/>
          <w:szCs w:val="22"/>
        </w:rPr>
        <w:t>”</w:t>
      </w:r>
      <w:r w:rsidRPr="003C35C6">
        <w:rPr>
          <w:sz w:val="22"/>
          <w:szCs w:val="22"/>
        </w:rPr>
        <w:t xml:space="preserve"> or </w:t>
      </w:r>
      <w:r w:rsidR="000946DC">
        <w:rPr>
          <w:sz w:val="22"/>
          <w:szCs w:val="22"/>
        </w:rPr>
        <w:t>“</w:t>
      </w:r>
      <w:r w:rsidRPr="003C35C6">
        <w:rPr>
          <w:sz w:val="22"/>
          <w:szCs w:val="22"/>
        </w:rPr>
        <w:t>Information is available upon request</w:t>
      </w:r>
      <w:r w:rsidR="000946DC">
        <w:rPr>
          <w:sz w:val="22"/>
          <w:szCs w:val="22"/>
        </w:rPr>
        <w:t>”</w:t>
      </w:r>
      <w:r w:rsidRPr="003C35C6">
        <w:rPr>
          <w:sz w:val="22"/>
          <w:szCs w:val="22"/>
        </w:rPr>
        <w:t xml:space="preserve"> are insufficient.</w:t>
      </w:r>
    </w:p>
    <w:p w14:paraId="61C9B449" w14:textId="77777777" w:rsidR="00282B6B" w:rsidRDefault="003C35C6" w:rsidP="00212691">
      <w:pPr>
        <w:spacing w:line="276" w:lineRule="auto"/>
        <w:rPr>
          <w:sz w:val="22"/>
          <w:szCs w:val="22"/>
        </w:rPr>
      </w:pPr>
      <w:r w:rsidRPr="003C35C6">
        <w:rPr>
          <w:sz w:val="22"/>
          <w:szCs w:val="22"/>
        </w:rPr>
        <w:t xml:space="preserve">An adequate location statement should provide all information a prospective franchisee would need to </w:t>
      </w:r>
      <w:proofErr w:type="gramStart"/>
      <w:r w:rsidRPr="003C35C6">
        <w:rPr>
          <w:sz w:val="22"/>
          <w:szCs w:val="22"/>
        </w:rPr>
        <w:t>actually access</w:t>
      </w:r>
      <w:proofErr w:type="gramEnd"/>
      <w:r w:rsidRPr="003C35C6">
        <w:rPr>
          <w:sz w:val="22"/>
          <w:szCs w:val="22"/>
        </w:rPr>
        <w:t xml:space="preserve"> and inspect the substantiating materials without further inquiry. For example: </w:t>
      </w:r>
    </w:p>
    <w:p w14:paraId="3016AC0F" w14:textId="5D91CAFC" w:rsidR="003C35C6" w:rsidRPr="00282B6B" w:rsidRDefault="000946DC" w:rsidP="00212691">
      <w:pPr>
        <w:spacing w:line="276" w:lineRule="auto"/>
        <w:ind w:left="360" w:right="360"/>
        <w:rPr>
          <w:i/>
          <w:iCs/>
          <w:sz w:val="22"/>
          <w:szCs w:val="22"/>
        </w:rPr>
      </w:pPr>
      <w:r w:rsidRPr="00282B6B">
        <w:rPr>
          <w:i/>
          <w:iCs/>
          <w:sz w:val="22"/>
          <w:szCs w:val="22"/>
        </w:rPr>
        <w:t>“</w:t>
      </w:r>
      <w:r w:rsidR="003C35C6" w:rsidRPr="00282B6B">
        <w:rPr>
          <w:i/>
          <w:iCs/>
          <w:sz w:val="22"/>
          <w:szCs w:val="22"/>
        </w:rPr>
        <w:t xml:space="preserve">The substantiating information for these </w:t>
      </w:r>
      <w:r w:rsidR="000B2BB4">
        <w:rPr>
          <w:i/>
          <w:iCs/>
          <w:sz w:val="22"/>
          <w:szCs w:val="22"/>
        </w:rPr>
        <w:t>Earnings Projection</w:t>
      </w:r>
      <w:r w:rsidR="003C35C6" w:rsidRPr="00282B6B">
        <w:rPr>
          <w:i/>
          <w:iCs/>
          <w:sz w:val="22"/>
          <w:szCs w:val="22"/>
        </w:rPr>
        <w:t>s is available for inspection at the franchisor's head office located at [specific address], during regular business hours (Monday through Friday, 9:00 AM to 5:00 PM Eastern Time). To arrange an inspection appointment, please contact [name and title] at [phone number] or [email address] at least 48 hours in advance.</w:t>
      </w:r>
      <w:r w:rsidRPr="00282B6B">
        <w:rPr>
          <w:i/>
          <w:iCs/>
          <w:sz w:val="22"/>
          <w:szCs w:val="22"/>
        </w:rPr>
        <w:t>”</w:t>
      </w:r>
    </w:p>
    <w:p w14:paraId="70D38C98" w14:textId="069E2823" w:rsidR="003C35C6" w:rsidRPr="003C35C6" w:rsidRDefault="003C35C6" w:rsidP="00212691">
      <w:pPr>
        <w:spacing w:line="276" w:lineRule="auto"/>
        <w:rPr>
          <w:sz w:val="22"/>
          <w:szCs w:val="22"/>
        </w:rPr>
      </w:pPr>
      <w:r w:rsidRPr="003C35C6">
        <w:rPr>
          <w:sz w:val="22"/>
          <w:szCs w:val="22"/>
        </w:rPr>
        <w:t xml:space="preserve">The location where substantiating information is available </w:t>
      </w:r>
      <w:r w:rsidR="00282B6B">
        <w:rPr>
          <w:sz w:val="22"/>
          <w:szCs w:val="22"/>
        </w:rPr>
        <w:t>should</w:t>
      </w:r>
      <w:r w:rsidRPr="003C35C6">
        <w:rPr>
          <w:sz w:val="22"/>
          <w:szCs w:val="22"/>
        </w:rPr>
        <w:t xml:space="preserve"> be reasonably accessible to prospective franchisees. Considerations include geographic accessibility (for franchisors selling franchises nationally, consider whether regional offices or electronic access options should be provided), temporal accessibility (hours should be reasonable and accommodate prospective franchisees who may have other commitments), and procedural accessibility (any procedures for arranging inspection should be reasonable and not create unnecessary barriers).</w:t>
      </w:r>
    </w:p>
    <w:p w14:paraId="7EC5988E" w14:textId="512F5613" w:rsidR="003C35C6" w:rsidRPr="003C35C6" w:rsidRDefault="003C35C6" w:rsidP="00212691">
      <w:pPr>
        <w:spacing w:line="276" w:lineRule="auto"/>
        <w:rPr>
          <w:sz w:val="22"/>
          <w:szCs w:val="22"/>
        </w:rPr>
      </w:pPr>
      <w:r w:rsidRPr="003C35C6">
        <w:rPr>
          <w:sz w:val="22"/>
          <w:szCs w:val="22"/>
        </w:rPr>
        <w:t xml:space="preserve">To satisfy the location statement requirement, franchisors </w:t>
      </w:r>
      <w:r w:rsidR="00282B6B">
        <w:rPr>
          <w:sz w:val="22"/>
          <w:szCs w:val="22"/>
        </w:rPr>
        <w:t>should</w:t>
      </w:r>
      <w:r w:rsidRPr="003C35C6">
        <w:rPr>
          <w:sz w:val="22"/>
          <w:szCs w:val="22"/>
        </w:rPr>
        <w:t xml:space="preserve"> </w:t>
      </w:r>
      <w:proofErr w:type="gramStart"/>
      <w:r w:rsidRPr="003C35C6">
        <w:rPr>
          <w:sz w:val="22"/>
          <w:szCs w:val="22"/>
        </w:rPr>
        <w:t>actually maintain</w:t>
      </w:r>
      <w:proofErr w:type="gramEnd"/>
      <w:r w:rsidRPr="003C35C6">
        <w:rPr>
          <w:sz w:val="22"/>
          <w:szCs w:val="22"/>
        </w:rPr>
        <w:t xml:space="preserve"> the substantiating materials in an organised and accessible manner. Best practices include creating a dedicated substantiation file for each set of </w:t>
      </w:r>
      <w:r w:rsidR="000B2BB4">
        <w:rPr>
          <w:sz w:val="22"/>
          <w:szCs w:val="22"/>
        </w:rPr>
        <w:t>Earnings Projection</w:t>
      </w:r>
      <w:r w:rsidRPr="003C35C6">
        <w:rPr>
          <w:sz w:val="22"/>
          <w:szCs w:val="22"/>
        </w:rPr>
        <w:t>s, organising materials logically with a clear index, maintaining materials in both original form and in formats suitable for inspection, and implementing document retention policies that ensure materials remain available throughout the period when the disclosure document is in use.</w:t>
      </w:r>
    </w:p>
    <w:p w14:paraId="7D7A6ACE" w14:textId="71D4A316" w:rsidR="003C35C6" w:rsidRPr="00282B6B" w:rsidRDefault="003C35C6" w:rsidP="00212691">
      <w:pPr>
        <w:pStyle w:val="ListParagraph"/>
        <w:numPr>
          <w:ilvl w:val="0"/>
          <w:numId w:val="19"/>
        </w:numPr>
        <w:spacing w:line="276" w:lineRule="auto"/>
        <w:rPr>
          <w:i/>
          <w:iCs/>
          <w:sz w:val="22"/>
          <w:szCs w:val="22"/>
        </w:rPr>
      </w:pPr>
      <w:r w:rsidRPr="00282B6B">
        <w:rPr>
          <w:i/>
          <w:iCs/>
          <w:sz w:val="22"/>
          <w:szCs w:val="22"/>
        </w:rPr>
        <w:t>Integration into the Disclosure Document</w:t>
      </w:r>
    </w:p>
    <w:p w14:paraId="5C605E57" w14:textId="1E6A60C7" w:rsidR="003C35C6" w:rsidRPr="003C35C6" w:rsidRDefault="003C35C6" w:rsidP="00212691">
      <w:pPr>
        <w:spacing w:line="276" w:lineRule="auto"/>
        <w:rPr>
          <w:sz w:val="22"/>
          <w:szCs w:val="22"/>
        </w:rPr>
      </w:pPr>
      <w:r w:rsidRPr="003C35C6">
        <w:rPr>
          <w:sz w:val="22"/>
          <w:szCs w:val="22"/>
        </w:rPr>
        <w:t xml:space="preserve">The Act requires that disclosure be provided as a single document, ensuring that prospective franchisees can review all relevant information simultaneously and in context. This </w:t>
      </w:r>
      <w:r w:rsidR="000946DC">
        <w:rPr>
          <w:sz w:val="22"/>
          <w:szCs w:val="22"/>
        </w:rPr>
        <w:t>“</w:t>
      </w:r>
      <w:r w:rsidRPr="003C35C6">
        <w:rPr>
          <w:sz w:val="22"/>
          <w:szCs w:val="22"/>
        </w:rPr>
        <w:t>single document</w:t>
      </w:r>
      <w:r w:rsidR="000946DC">
        <w:rPr>
          <w:sz w:val="22"/>
          <w:szCs w:val="22"/>
        </w:rPr>
        <w:t>”</w:t>
      </w:r>
      <w:r w:rsidRPr="003C35C6">
        <w:rPr>
          <w:sz w:val="22"/>
          <w:szCs w:val="22"/>
        </w:rPr>
        <w:t xml:space="preserve"> requirement has important implications for how </w:t>
      </w:r>
      <w:r w:rsidR="000B2BB4">
        <w:rPr>
          <w:sz w:val="22"/>
          <w:szCs w:val="22"/>
        </w:rPr>
        <w:t>Earnings Projection</w:t>
      </w:r>
      <w:r w:rsidRPr="003C35C6">
        <w:rPr>
          <w:sz w:val="22"/>
          <w:szCs w:val="22"/>
        </w:rPr>
        <w:t>s are presented. Earnings projections should be included in the appropriate section of the franchise disclosure document as prescribed by the Regulation, clearly labelled and easy to locate, presented in their entirety within the disclosure document itself (not incorporated by reference to external materials), and accompanied by all required statements regarding basis, assumptions, and location of substantiating information.</w:t>
      </w:r>
    </w:p>
    <w:p w14:paraId="78101308" w14:textId="53F6A5C8" w:rsidR="003C35C6" w:rsidRPr="003C35C6" w:rsidRDefault="003C35C6" w:rsidP="00212691">
      <w:pPr>
        <w:spacing w:line="276" w:lineRule="auto"/>
        <w:rPr>
          <w:sz w:val="22"/>
          <w:szCs w:val="22"/>
        </w:rPr>
      </w:pPr>
      <w:r w:rsidRPr="003C35C6">
        <w:rPr>
          <w:sz w:val="22"/>
          <w:szCs w:val="22"/>
        </w:rPr>
        <w:t xml:space="preserve">Earnings projections should be consistent with and appropriately cross-referenced to other sections of the disclosure document, including initial investment estimates, fees and payments, franchisee obligations, financial statements, and outlet information. Disclosure must be presented in a clear, accurate, and concise manner. Inconsistencies between </w:t>
      </w:r>
      <w:r w:rsidR="000B2BB4">
        <w:rPr>
          <w:sz w:val="22"/>
          <w:szCs w:val="22"/>
        </w:rPr>
        <w:t>Earnings Projection</w:t>
      </w:r>
      <w:r w:rsidRPr="003C35C6">
        <w:rPr>
          <w:sz w:val="22"/>
          <w:szCs w:val="22"/>
        </w:rPr>
        <w:t xml:space="preserve">s and other sections of the disclosure document can create confusion, undermine credibility, and potentially constitute </w:t>
      </w:r>
      <w:r w:rsidR="00282B6B">
        <w:rPr>
          <w:sz w:val="22"/>
          <w:szCs w:val="22"/>
        </w:rPr>
        <w:t xml:space="preserve">misrepresentations or </w:t>
      </w:r>
      <w:r w:rsidRPr="003C35C6">
        <w:rPr>
          <w:sz w:val="22"/>
          <w:szCs w:val="22"/>
        </w:rPr>
        <w:t>material deficiencies</w:t>
      </w:r>
      <w:r w:rsidR="00282B6B">
        <w:rPr>
          <w:sz w:val="22"/>
          <w:szCs w:val="22"/>
        </w:rPr>
        <w:t xml:space="preserve"> (or both)</w:t>
      </w:r>
      <w:r w:rsidRPr="003C35C6">
        <w:rPr>
          <w:sz w:val="22"/>
          <w:szCs w:val="22"/>
        </w:rPr>
        <w:t>.</w:t>
      </w:r>
    </w:p>
    <w:p w14:paraId="1BB71B89" w14:textId="098A2D1B" w:rsidR="003C35C6" w:rsidRPr="003C35C6" w:rsidRDefault="003C35C6" w:rsidP="00212691">
      <w:pPr>
        <w:spacing w:line="276" w:lineRule="auto"/>
        <w:rPr>
          <w:sz w:val="22"/>
          <w:szCs w:val="22"/>
        </w:rPr>
      </w:pPr>
      <w:r w:rsidRPr="003C35C6">
        <w:rPr>
          <w:sz w:val="22"/>
          <w:szCs w:val="22"/>
        </w:rPr>
        <w:lastRenderedPageBreak/>
        <w:t xml:space="preserve">The courts have held that once financial information is provided to a franchisee outside of the disclosure context, the information must be included in the formal disclosure documentation. This reinforces the importance of the single document requirement: all material financial information must be contained within the disclosure document itself. Franchisors should avoid providing supplementary financial information in separate documents not incorporated into the FDD, making financial representations in sales presentations that are not reflected in the disclosure document, or creating </w:t>
      </w:r>
      <w:r w:rsidR="000946DC">
        <w:rPr>
          <w:sz w:val="22"/>
          <w:szCs w:val="22"/>
        </w:rPr>
        <w:t>“</w:t>
      </w:r>
      <w:r w:rsidRPr="003C35C6">
        <w:rPr>
          <w:sz w:val="22"/>
          <w:szCs w:val="22"/>
        </w:rPr>
        <w:t>tiered</w:t>
      </w:r>
      <w:r w:rsidR="000946DC">
        <w:rPr>
          <w:sz w:val="22"/>
          <w:szCs w:val="22"/>
        </w:rPr>
        <w:t>”</w:t>
      </w:r>
      <w:r w:rsidRPr="003C35C6">
        <w:rPr>
          <w:sz w:val="22"/>
          <w:szCs w:val="22"/>
        </w:rPr>
        <w:t xml:space="preserve"> disclosure where more detailed financial information is provided only to certain prospects.</w:t>
      </w:r>
    </w:p>
    <w:p w14:paraId="5AA81389" w14:textId="0C54D32A" w:rsidR="003C35C6" w:rsidRPr="00282B6B" w:rsidRDefault="003C35C6" w:rsidP="00212691">
      <w:pPr>
        <w:pStyle w:val="ListParagraph"/>
        <w:numPr>
          <w:ilvl w:val="0"/>
          <w:numId w:val="19"/>
        </w:numPr>
        <w:spacing w:line="276" w:lineRule="auto"/>
        <w:rPr>
          <w:i/>
          <w:iCs/>
          <w:sz w:val="22"/>
          <w:szCs w:val="22"/>
        </w:rPr>
      </w:pPr>
      <w:r w:rsidRPr="00282B6B">
        <w:rPr>
          <w:i/>
          <w:iCs/>
          <w:sz w:val="22"/>
          <w:szCs w:val="22"/>
        </w:rPr>
        <w:t>Updating and Refreshing Projections</w:t>
      </w:r>
    </w:p>
    <w:p w14:paraId="5A945FDF" w14:textId="58231FE2" w:rsidR="007D1A3D" w:rsidRDefault="00282B6B" w:rsidP="00212691">
      <w:pPr>
        <w:spacing w:line="276" w:lineRule="auto"/>
        <w:rPr>
          <w:sz w:val="22"/>
          <w:szCs w:val="22"/>
        </w:rPr>
      </w:pPr>
      <w:r>
        <w:rPr>
          <w:sz w:val="22"/>
          <w:szCs w:val="22"/>
        </w:rPr>
        <w:t>Under the Act, the disclosure document</w:t>
      </w:r>
      <w:r w:rsidR="003C35C6" w:rsidRPr="003C35C6">
        <w:rPr>
          <w:sz w:val="22"/>
          <w:szCs w:val="22"/>
        </w:rPr>
        <w:t xml:space="preserve"> must be </w:t>
      </w:r>
      <w:r>
        <w:rPr>
          <w:sz w:val="22"/>
          <w:szCs w:val="22"/>
        </w:rPr>
        <w:t>up</w:t>
      </w:r>
      <w:r w:rsidR="003C35C6" w:rsidRPr="003C35C6">
        <w:rPr>
          <w:sz w:val="22"/>
          <w:szCs w:val="22"/>
        </w:rPr>
        <w:t xml:space="preserve"> to </w:t>
      </w:r>
      <w:r>
        <w:rPr>
          <w:sz w:val="22"/>
          <w:szCs w:val="22"/>
        </w:rPr>
        <w:t xml:space="preserve">date </w:t>
      </w:r>
      <w:r w:rsidR="003C35C6" w:rsidRPr="003C35C6">
        <w:rPr>
          <w:sz w:val="22"/>
          <w:szCs w:val="22"/>
        </w:rPr>
        <w:t xml:space="preserve">and </w:t>
      </w:r>
      <w:r>
        <w:rPr>
          <w:sz w:val="22"/>
          <w:szCs w:val="22"/>
        </w:rPr>
        <w:t xml:space="preserve">relevant each time it is issued to a prospective franchisee. This creates an ongoing obligation for franchisors to assess when </w:t>
      </w:r>
      <w:r w:rsidR="000B2BB4">
        <w:rPr>
          <w:sz w:val="22"/>
          <w:szCs w:val="22"/>
        </w:rPr>
        <w:t>Earnings Projection</w:t>
      </w:r>
      <w:r w:rsidR="003C35C6" w:rsidRPr="003C35C6">
        <w:rPr>
          <w:sz w:val="22"/>
          <w:szCs w:val="22"/>
        </w:rPr>
        <w:t xml:space="preserve">s </w:t>
      </w:r>
      <w:r>
        <w:rPr>
          <w:sz w:val="22"/>
          <w:szCs w:val="22"/>
        </w:rPr>
        <w:t xml:space="preserve">require updating. Given that franchisors typically receive financial information from franchisees on at least a quarterly basis, franchisors must make strategic decisions about the timing of </w:t>
      </w:r>
      <w:r w:rsidR="000B2BB4">
        <w:rPr>
          <w:sz w:val="22"/>
          <w:szCs w:val="22"/>
        </w:rPr>
        <w:t>Earnings Projection</w:t>
      </w:r>
      <w:r>
        <w:rPr>
          <w:sz w:val="22"/>
          <w:szCs w:val="22"/>
        </w:rPr>
        <w:t xml:space="preserve"> updates, balancing</w:t>
      </w:r>
      <w:r w:rsidR="003C35C6" w:rsidRPr="003C35C6">
        <w:rPr>
          <w:sz w:val="22"/>
          <w:szCs w:val="22"/>
        </w:rPr>
        <w:t xml:space="preserve"> the </w:t>
      </w:r>
      <w:r>
        <w:rPr>
          <w:sz w:val="22"/>
          <w:szCs w:val="22"/>
        </w:rPr>
        <w:t xml:space="preserve">need for current information against the practical challenges of frequent revisions. Updates are legally required when there have been material changes in system performance that render existing projections misleading or when the basis </w:t>
      </w:r>
      <w:r w:rsidR="003C35C6" w:rsidRPr="003C35C6">
        <w:rPr>
          <w:sz w:val="22"/>
          <w:szCs w:val="22"/>
        </w:rPr>
        <w:t xml:space="preserve">for projections </w:t>
      </w:r>
      <w:r>
        <w:rPr>
          <w:sz w:val="22"/>
          <w:szCs w:val="22"/>
        </w:rPr>
        <w:t>becomes stale</w:t>
      </w:r>
      <w:r w:rsidR="003C35C6" w:rsidRPr="003C35C6">
        <w:rPr>
          <w:sz w:val="22"/>
          <w:szCs w:val="22"/>
        </w:rPr>
        <w:t>.</w:t>
      </w:r>
    </w:p>
    <w:p w14:paraId="5C258CF6" w14:textId="7D2B32E8" w:rsidR="00FD4014" w:rsidRPr="00FD4014" w:rsidRDefault="00FD4014" w:rsidP="00212691">
      <w:pPr>
        <w:spacing w:line="276" w:lineRule="auto"/>
        <w:rPr>
          <w:b/>
          <w:bCs/>
          <w:i/>
          <w:iCs/>
          <w:sz w:val="22"/>
          <w:szCs w:val="22"/>
        </w:rPr>
      </w:pPr>
      <w:r w:rsidRPr="00FD4014">
        <w:rPr>
          <w:b/>
          <w:bCs/>
          <w:i/>
          <w:iCs/>
          <w:sz w:val="22"/>
          <w:szCs w:val="22"/>
        </w:rPr>
        <w:t>Risk Management and Protective Measures</w:t>
      </w:r>
    </w:p>
    <w:p w14:paraId="279D9CCD" w14:textId="44642444" w:rsidR="00FD4014" w:rsidRPr="00FA3B6E" w:rsidRDefault="00FD4014" w:rsidP="00212691">
      <w:pPr>
        <w:pStyle w:val="ListParagraph"/>
        <w:numPr>
          <w:ilvl w:val="0"/>
          <w:numId w:val="20"/>
        </w:numPr>
        <w:spacing w:line="276" w:lineRule="auto"/>
        <w:rPr>
          <w:i/>
          <w:iCs/>
          <w:sz w:val="22"/>
          <w:szCs w:val="22"/>
        </w:rPr>
      </w:pPr>
      <w:r w:rsidRPr="00FA3B6E">
        <w:rPr>
          <w:i/>
          <w:iCs/>
          <w:sz w:val="22"/>
          <w:szCs w:val="22"/>
        </w:rPr>
        <w:t>Crafting Effective Disclaimers</w:t>
      </w:r>
    </w:p>
    <w:p w14:paraId="6495195F" w14:textId="5ABDE26C" w:rsidR="00FD4014" w:rsidRPr="00FD4014" w:rsidRDefault="00FD4014" w:rsidP="00212691">
      <w:pPr>
        <w:spacing w:line="276" w:lineRule="auto"/>
        <w:rPr>
          <w:sz w:val="22"/>
          <w:szCs w:val="22"/>
        </w:rPr>
      </w:pPr>
      <w:r w:rsidRPr="00FD4014">
        <w:rPr>
          <w:sz w:val="22"/>
          <w:szCs w:val="22"/>
        </w:rPr>
        <w:t xml:space="preserve">Disclaimers serve an important function in </w:t>
      </w:r>
      <w:r w:rsidR="000B2BB4">
        <w:rPr>
          <w:sz w:val="22"/>
          <w:szCs w:val="22"/>
        </w:rPr>
        <w:t>Earnings Projection</w:t>
      </w:r>
      <w:r w:rsidRPr="00FD4014">
        <w:rPr>
          <w:sz w:val="22"/>
          <w:szCs w:val="22"/>
        </w:rPr>
        <w:t>s by alerting prospective franchisees to the limitations of the projections and the factors that may cause individual results to vary. However, disclaimers must be carefully crafted to provide meaningful protection without undermining the credibility of the projections. While the Regulation does not mandate specific disclaimer language, certain disclaimers are effectively required to avoid misrepresentation liability</w:t>
      </w:r>
      <w:r w:rsidR="00661826">
        <w:rPr>
          <w:sz w:val="22"/>
          <w:szCs w:val="22"/>
        </w:rPr>
        <w:t>, including</w:t>
      </w:r>
      <w:r w:rsidRPr="00FD4014">
        <w:rPr>
          <w:sz w:val="22"/>
          <w:szCs w:val="22"/>
        </w:rPr>
        <w:t>: a statement that the projections are estimates based on specified assumptions and that actual results will vary; a statement that the franchisor makes no guarantee or warranty that any franchisee will achieve the projected results; a statement identifying the key variables that may cause individual results to differ from projections; a statement that prospective franchisees should conduct their own independent analysis and consult with professional advisors; and a statement regarding the percentage of franchisees who achieved or exceeded the projected results.</w:t>
      </w:r>
    </w:p>
    <w:p w14:paraId="46FB347E" w14:textId="77777777" w:rsidR="00FD4014" w:rsidRPr="00FD4014" w:rsidRDefault="00FD4014" w:rsidP="00212691">
      <w:pPr>
        <w:spacing w:line="276" w:lineRule="auto"/>
        <w:rPr>
          <w:sz w:val="22"/>
          <w:szCs w:val="22"/>
        </w:rPr>
      </w:pPr>
      <w:r w:rsidRPr="00FD4014">
        <w:rPr>
          <w:sz w:val="22"/>
          <w:szCs w:val="22"/>
        </w:rPr>
        <w:t>The placement and tone of disclaimers can significantly affect their impact. Disclaimers should be prominent but not overwhelming, specific rather than generic, balanced in tone, and integrated with assumptions rather than treated as separate from the projections. Effective disclaimers acknowledge that individual franchisee results depend significantly on factors within the franchisee's control, including management skill and business acumen, time commitment and personal involvement, sales and marketing effectiveness, cost control and operational efficiency, and adherence to system standards and best practices.</w:t>
      </w:r>
    </w:p>
    <w:p w14:paraId="2E199D97" w14:textId="2A9E2510" w:rsidR="00FD4014" w:rsidRPr="00B62FD8" w:rsidRDefault="00FD4014" w:rsidP="00212691">
      <w:pPr>
        <w:pStyle w:val="ListParagraph"/>
        <w:numPr>
          <w:ilvl w:val="0"/>
          <w:numId w:val="20"/>
        </w:numPr>
        <w:spacing w:line="276" w:lineRule="auto"/>
        <w:rPr>
          <w:i/>
          <w:iCs/>
          <w:sz w:val="22"/>
          <w:szCs w:val="22"/>
        </w:rPr>
      </w:pPr>
      <w:r w:rsidRPr="00B62FD8">
        <w:rPr>
          <w:i/>
          <w:iCs/>
          <w:sz w:val="22"/>
          <w:szCs w:val="22"/>
        </w:rPr>
        <w:t>Controlling Communications Beyond the FDD</w:t>
      </w:r>
    </w:p>
    <w:p w14:paraId="27BF7F33" w14:textId="7C640442" w:rsidR="00FD4014" w:rsidRPr="00FD4014" w:rsidRDefault="00B62FD8" w:rsidP="00212691">
      <w:pPr>
        <w:spacing w:line="276" w:lineRule="auto"/>
        <w:rPr>
          <w:sz w:val="22"/>
          <w:szCs w:val="22"/>
        </w:rPr>
      </w:pPr>
      <w:r>
        <w:rPr>
          <w:sz w:val="22"/>
          <w:szCs w:val="22"/>
        </w:rPr>
        <w:t>Because t</w:t>
      </w:r>
      <w:r w:rsidR="00FD4014" w:rsidRPr="00FD4014">
        <w:rPr>
          <w:sz w:val="22"/>
          <w:szCs w:val="22"/>
        </w:rPr>
        <w:t>he courts have determined that financial information provided to</w:t>
      </w:r>
      <w:r w:rsidR="00661826">
        <w:rPr>
          <w:sz w:val="22"/>
          <w:szCs w:val="22"/>
        </w:rPr>
        <w:t xml:space="preserve"> prospective</w:t>
      </w:r>
      <w:r w:rsidR="00FD4014" w:rsidRPr="00FD4014">
        <w:rPr>
          <w:sz w:val="22"/>
          <w:szCs w:val="22"/>
        </w:rPr>
        <w:t xml:space="preserve"> franchisees outside of the disclosure context must be included in the formal disclosure documentation</w:t>
      </w:r>
      <w:r>
        <w:rPr>
          <w:sz w:val="22"/>
          <w:szCs w:val="22"/>
        </w:rPr>
        <w:t xml:space="preserve">, </w:t>
      </w:r>
      <w:r w:rsidR="00FD4014" w:rsidRPr="00FD4014">
        <w:rPr>
          <w:sz w:val="22"/>
          <w:szCs w:val="22"/>
        </w:rPr>
        <w:t xml:space="preserve">franchisors </w:t>
      </w:r>
      <w:r>
        <w:rPr>
          <w:sz w:val="22"/>
          <w:szCs w:val="22"/>
        </w:rPr>
        <w:t xml:space="preserve">must </w:t>
      </w:r>
      <w:r w:rsidR="00FD4014" w:rsidRPr="00FD4014">
        <w:rPr>
          <w:sz w:val="22"/>
          <w:szCs w:val="22"/>
        </w:rPr>
        <w:t xml:space="preserve">carefully control all financial communications throughout the sales process. All sales personnel should be trained on what constitutes </w:t>
      </w:r>
      <w:r w:rsidR="000B2BB4">
        <w:rPr>
          <w:sz w:val="22"/>
          <w:szCs w:val="22"/>
        </w:rPr>
        <w:t>Earnings Projection</w:t>
      </w:r>
      <w:r w:rsidR="00FD4014" w:rsidRPr="00FD4014">
        <w:rPr>
          <w:sz w:val="22"/>
          <w:szCs w:val="22"/>
        </w:rPr>
        <w:t xml:space="preserve">, the legal requirements for disclosure, and the consequences </w:t>
      </w:r>
      <w:r w:rsidR="00FD4014" w:rsidRPr="00FD4014">
        <w:rPr>
          <w:sz w:val="22"/>
          <w:szCs w:val="22"/>
        </w:rPr>
        <w:lastRenderedPageBreak/>
        <w:t xml:space="preserve">of non-compliant communications. Franchisors should develop standardised responses to common questions about financial performance that direct prospects to the disclosure document, implement a </w:t>
      </w:r>
      <w:r>
        <w:rPr>
          <w:sz w:val="22"/>
          <w:szCs w:val="22"/>
        </w:rPr>
        <w:t>“</w:t>
      </w:r>
      <w:r w:rsidR="00FD4014" w:rsidRPr="00FD4014">
        <w:rPr>
          <w:sz w:val="22"/>
          <w:szCs w:val="22"/>
        </w:rPr>
        <w:t>refer to FDD</w:t>
      </w:r>
      <w:r>
        <w:rPr>
          <w:sz w:val="22"/>
          <w:szCs w:val="22"/>
        </w:rPr>
        <w:t>”</w:t>
      </w:r>
      <w:r w:rsidR="00FD4014" w:rsidRPr="00FD4014">
        <w:rPr>
          <w:sz w:val="22"/>
          <w:szCs w:val="22"/>
        </w:rPr>
        <w:t xml:space="preserve"> policy, maintain records of all substantive communications with prospective franchisees, and establish clear procedures for escalating requests for financial information not contained in the disclosure document.</w:t>
      </w:r>
    </w:p>
    <w:p w14:paraId="787F9D18" w14:textId="77777777" w:rsidR="00FD4014" w:rsidRPr="00FD4014" w:rsidRDefault="00FD4014" w:rsidP="00212691">
      <w:pPr>
        <w:spacing w:line="276" w:lineRule="auto"/>
        <w:rPr>
          <w:sz w:val="22"/>
          <w:szCs w:val="22"/>
        </w:rPr>
      </w:pPr>
      <w:r w:rsidRPr="00FD4014">
        <w:rPr>
          <w:sz w:val="22"/>
          <w:szCs w:val="22"/>
        </w:rPr>
        <w:t>Franchisors who utilise franchise brokers or other third-party representatives face heightened risks. Protective measures include comprehensive written agreements with detailed provisions regarding compliance with disclosure laws, training requirements for all brokers, prohibitions on brokers creating or using any materials not approved by the franchisor, communication monitoring systems, and the right to immediately terminate broker relationships for non-compliant conduct.</w:t>
      </w:r>
    </w:p>
    <w:p w14:paraId="52BA8C31" w14:textId="0402DB81" w:rsidR="00FD4014" w:rsidRPr="00B62FD8" w:rsidRDefault="00FD4014" w:rsidP="00212691">
      <w:pPr>
        <w:pStyle w:val="ListParagraph"/>
        <w:numPr>
          <w:ilvl w:val="0"/>
          <w:numId w:val="20"/>
        </w:numPr>
        <w:spacing w:line="276" w:lineRule="auto"/>
        <w:rPr>
          <w:i/>
          <w:iCs/>
          <w:sz w:val="22"/>
          <w:szCs w:val="22"/>
        </w:rPr>
      </w:pPr>
      <w:r w:rsidRPr="00B62FD8">
        <w:rPr>
          <w:i/>
          <w:iCs/>
          <w:sz w:val="22"/>
          <w:szCs w:val="22"/>
        </w:rPr>
        <w:t>Documentation and Record-Keeping</w:t>
      </w:r>
    </w:p>
    <w:p w14:paraId="59A111FC" w14:textId="4AD7B295" w:rsidR="00FD4014" w:rsidRPr="00FD4014" w:rsidRDefault="00FD4014" w:rsidP="00212691">
      <w:pPr>
        <w:spacing w:line="276" w:lineRule="auto"/>
        <w:rPr>
          <w:sz w:val="22"/>
          <w:szCs w:val="22"/>
        </w:rPr>
      </w:pPr>
      <w:r w:rsidRPr="00FD4014">
        <w:rPr>
          <w:sz w:val="22"/>
          <w:szCs w:val="22"/>
        </w:rPr>
        <w:t>Comprehensive documentation and record-keeping practices are essential both for demonstrating compliance</w:t>
      </w:r>
      <w:r w:rsidR="00661826">
        <w:rPr>
          <w:sz w:val="22"/>
          <w:szCs w:val="22"/>
        </w:rPr>
        <w:t xml:space="preserve"> with the Act</w:t>
      </w:r>
      <w:r w:rsidRPr="00FD4014">
        <w:rPr>
          <w:sz w:val="22"/>
          <w:szCs w:val="22"/>
        </w:rPr>
        <w:t xml:space="preserve"> and for defending against potential claims. The Regulation requires that substantiating information be available for inspection. Substantiation files should include raw financial data for all units included in projections, detailed calculations showing how raw data was transformed into projections, documentation of all assumptions and the basis for selecting them, any third-party reports or studies relied upon, and internal memoranda documenting key decisions in the projection development process.</w:t>
      </w:r>
    </w:p>
    <w:p w14:paraId="49EB5465" w14:textId="2CE7F667" w:rsidR="00FD4014" w:rsidRDefault="00FD4014" w:rsidP="00212691">
      <w:pPr>
        <w:spacing w:line="276" w:lineRule="auto"/>
        <w:rPr>
          <w:sz w:val="22"/>
          <w:szCs w:val="22"/>
        </w:rPr>
      </w:pPr>
      <w:r w:rsidRPr="00FD4014">
        <w:rPr>
          <w:sz w:val="22"/>
          <w:szCs w:val="22"/>
        </w:rPr>
        <w:t>Maintaining comprehensive records of all communications with prospective franchisees serves multiple purposes: compliance verification, dispute prevention, and defence against claims. Documentation should be retained for appropriate periods</w:t>
      </w:r>
      <w:r w:rsidR="002B3CF4">
        <w:rPr>
          <w:sz w:val="22"/>
          <w:szCs w:val="22"/>
        </w:rPr>
        <w:t xml:space="preserve"> – a</w:t>
      </w:r>
      <w:r w:rsidRPr="00FD4014">
        <w:rPr>
          <w:sz w:val="22"/>
          <w:szCs w:val="22"/>
        </w:rPr>
        <w:t>t a minimum, for the period during which a disclosure document is in use, plus the applicable statute of limitations period for potential claims.</w:t>
      </w:r>
    </w:p>
    <w:p w14:paraId="3B753ED6" w14:textId="47A91006" w:rsidR="002B3CF4" w:rsidRPr="002B3CF4" w:rsidRDefault="002B3CF4" w:rsidP="00212691">
      <w:pPr>
        <w:spacing w:line="276" w:lineRule="auto"/>
        <w:rPr>
          <w:b/>
          <w:bCs/>
          <w:i/>
          <w:iCs/>
          <w:sz w:val="22"/>
          <w:szCs w:val="22"/>
        </w:rPr>
      </w:pPr>
      <w:r w:rsidRPr="002B3CF4">
        <w:rPr>
          <w:b/>
          <w:bCs/>
          <w:i/>
          <w:iCs/>
          <w:sz w:val="22"/>
          <w:szCs w:val="22"/>
        </w:rPr>
        <w:t>Special Considerations for Unstable Economic Times</w:t>
      </w:r>
    </w:p>
    <w:p w14:paraId="1BF868AB" w14:textId="36A87063" w:rsidR="002B3CF4" w:rsidRPr="002B3CF4" w:rsidRDefault="002B3CF4" w:rsidP="00212691">
      <w:pPr>
        <w:spacing w:line="276" w:lineRule="auto"/>
        <w:rPr>
          <w:sz w:val="22"/>
          <w:szCs w:val="22"/>
        </w:rPr>
      </w:pPr>
      <w:r w:rsidRPr="002B3CF4">
        <w:rPr>
          <w:sz w:val="22"/>
          <w:szCs w:val="22"/>
        </w:rPr>
        <w:t xml:space="preserve">The challenges of preparing </w:t>
      </w:r>
      <w:r w:rsidR="000B2BB4">
        <w:rPr>
          <w:sz w:val="22"/>
          <w:szCs w:val="22"/>
        </w:rPr>
        <w:t>Earnings Projection</w:t>
      </w:r>
      <w:r w:rsidRPr="002B3CF4">
        <w:rPr>
          <w:sz w:val="22"/>
          <w:szCs w:val="22"/>
        </w:rPr>
        <w:t xml:space="preserve">s are significantly amplified during periods of economic volatility and uncertainty. </w:t>
      </w:r>
      <w:r w:rsidR="00A76C66">
        <w:rPr>
          <w:sz w:val="22"/>
          <w:szCs w:val="22"/>
        </w:rPr>
        <w:t xml:space="preserve">Over the past few years, various disruptive events including </w:t>
      </w:r>
      <w:r w:rsidRPr="002B3CF4">
        <w:rPr>
          <w:sz w:val="22"/>
          <w:szCs w:val="22"/>
        </w:rPr>
        <w:t>pandemic</w:t>
      </w:r>
      <w:r w:rsidR="00A76C66">
        <w:rPr>
          <w:sz w:val="22"/>
          <w:szCs w:val="22"/>
        </w:rPr>
        <w:t xml:space="preserve">-related disruptions, supply chain volatility, inflation, </w:t>
      </w:r>
      <w:r w:rsidR="001C303C">
        <w:rPr>
          <w:sz w:val="22"/>
          <w:szCs w:val="22"/>
        </w:rPr>
        <w:t xml:space="preserve">tariff implementations </w:t>
      </w:r>
      <w:r w:rsidR="00A76C66">
        <w:rPr>
          <w:sz w:val="22"/>
          <w:szCs w:val="22"/>
        </w:rPr>
        <w:t xml:space="preserve">and </w:t>
      </w:r>
      <w:r w:rsidR="001C303C">
        <w:rPr>
          <w:sz w:val="22"/>
          <w:szCs w:val="22"/>
        </w:rPr>
        <w:t xml:space="preserve">trade policy changes, AI-driven industry transformations, and </w:t>
      </w:r>
      <w:r w:rsidR="00A76C66">
        <w:rPr>
          <w:sz w:val="22"/>
          <w:szCs w:val="22"/>
        </w:rPr>
        <w:t xml:space="preserve">other economic instabilities have </w:t>
      </w:r>
      <w:r w:rsidRPr="002B3CF4">
        <w:rPr>
          <w:sz w:val="22"/>
          <w:szCs w:val="22"/>
        </w:rPr>
        <w:t xml:space="preserve">created unprecedented </w:t>
      </w:r>
      <w:r w:rsidR="00A76C66">
        <w:rPr>
          <w:sz w:val="22"/>
          <w:szCs w:val="22"/>
        </w:rPr>
        <w:t>challenges</w:t>
      </w:r>
      <w:r w:rsidRPr="002B3CF4">
        <w:rPr>
          <w:sz w:val="22"/>
          <w:szCs w:val="22"/>
        </w:rPr>
        <w:t xml:space="preserve"> for franchise systems across virtually all industries, </w:t>
      </w:r>
      <w:r w:rsidR="00A76C66">
        <w:rPr>
          <w:sz w:val="22"/>
          <w:szCs w:val="22"/>
        </w:rPr>
        <w:t>with</w:t>
      </w:r>
      <w:r w:rsidRPr="002B3CF4">
        <w:rPr>
          <w:sz w:val="22"/>
          <w:szCs w:val="22"/>
        </w:rPr>
        <w:t xml:space="preserve"> the post-</w:t>
      </w:r>
      <w:r w:rsidR="00A76C66">
        <w:rPr>
          <w:sz w:val="22"/>
          <w:szCs w:val="22"/>
        </w:rPr>
        <w:t>disruption</w:t>
      </w:r>
      <w:r w:rsidRPr="002B3CF4">
        <w:rPr>
          <w:sz w:val="22"/>
          <w:szCs w:val="22"/>
        </w:rPr>
        <w:t xml:space="preserve"> period </w:t>
      </w:r>
      <w:r w:rsidR="00A76C66">
        <w:rPr>
          <w:sz w:val="22"/>
          <w:szCs w:val="22"/>
        </w:rPr>
        <w:t xml:space="preserve">characterized </w:t>
      </w:r>
      <w:r w:rsidRPr="002B3CF4">
        <w:rPr>
          <w:sz w:val="22"/>
          <w:szCs w:val="22"/>
        </w:rPr>
        <w:t xml:space="preserve">by continued volatility in </w:t>
      </w:r>
      <w:r>
        <w:rPr>
          <w:sz w:val="22"/>
          <w:szCs w:val="22"/>
        </w:rPr>
        <w:t>various</w:t>
      </w:r>
      <w:r w:rsidRPr="002B3CF4">
        <w:rPr>
          <w:sz w:val="22"/>
          <w:szCs w:val="22"/>
        </w:rPr>
        <w:t xml:space="preserve"> sectors.</w:t>
      </w:r>
    </w:p>
    <w:p w14:paraId="23D42231" w14:textId="66A5622D" w:rsidR="002B3CF4" w:rsidRPr="002B3CF4" w:rsidRDefault="002B3CF4" w:rsidP="00212691">
      <w:pPr>
        <w:spacing w:line="276" w:lineRule="auto"/>
        <w:rPr>
          <w:sz w:val="22"/>
          <w:szCs w:val="22"/>
        </w:rPr>
      </w:pPr>
      <w:r w:rsidRPr="002B3CF4">
        <w:rPr>
          <w:sz w:val="22"/>
          <w:szCs w:val="22"/>
        </w:rPr>
        <w:t>Many franchise systems experience performance swings during</w:t>
      </w:r>
      <w:r w:rsidR="00A76C66">
        <w:rPr>
          <w:sz w:val="22"/>
          <w:szCs w:val="22"/>
        </w:rPr>
        <w:t xml:space="preserve"> their years of operation (particularly if they have been operating for decades)</w:t>
      </w:r>
      <w:r w:rsidRPr="002B3CF4">
        <w:rPr>
          <w:sz w:val="22"/>
          <w:szCs w:val="22"/>
        </w:rPr>
        <w:t xml:space="preserve">. This creates the </w:t>
      </w:r>
      <w:r w:rsidR="00A76C66">
        <w:rPr>
          <w:sz w:val="22"/>
          <w:szCs w:val="22"/>
        </w:rPr>
        <w:t xml:space="preserve">analytical </w:t>
      </w:r>
      <w:r w:rsidRPr="002B3CF4">
        <w:rPr>
          <w:sz w:val="22"/>
          <w:szCs w:val="22"/>
        </w:rPr>
        <w:t xml:space="preserve">question of how to treat </w:t>
      </w:r>
      <w:r w:rsidR="00A76C66">
        <w:rPr>
          <w:sz w:val="22"/>
          <w:szCs w:val="22"/>
        </w:rPr>
        <w:t>disruption</w:t>
      </w:r>
      <w:r w:rsidRPr="002B3CF4">
        <w:rPr>
          <w:sz w:val="22"/>
          <w:szCs w:val="22"/>
        </w:rPr>
        <w:t xml:space="preserve">-period data in </w:t>
      </w:r>
      <w:r w:rsidR="000B2BB4">
        <w:rPr>
          <w:sz w:val="22"/>
          <w:szCs w:val="22"/>
        </w:rPr>
        <w:t>Earnings Projection</w:t>
      </w:r>
      <w:r w:rsidRPr="002B3CF4">
        <w:rPr>
          <w:sz w:val="22"/>
          <w:szCs w:val="22"/>
        </w:rPr>
        <w:t>s</w:t>
      </w:r>
      <w:r w:rsidR="00A76C66">
        <w:rPr>
          <w:sz w:val="22"/>
          <w:szCs w:val="22"/>
        </w:rPr>
        <w:t>, particularly given that over extended periods of time, the concept of “normal” operations becomes increasingly elusive as market conditions, consumer behavior, and operational standards evolve</w:t>
      </w:r>
      <w:r w:rsidRPr="002B3CF4">
        <w:rPr>
          <w:sz w:val="22"/>
          <w:szCs w:val="22"/>
        </w:rPr>
        <w:t xml:space="preserve">. Some franchisors have chosen to base projections </w:t>
      </w:r>
      <w:r w:rsidR="00A76C66">
        <w:rPr>
          <w:sz w:val="22"/>
          <w:szCs w:val="22"/>
        </w:rPr>
        <w:t xml:space="preserve">exclusively </w:t>
      </w:r>
      <w:r w:rsidRPr="002B3CF4">
        <w:rPr>
          <w:sz w:val="22"/>
          <w:szCs w:val="22"/>
        </w:rPr>
        <w:t>on pre-</w:t>
      </w:r>
      <w:r w:rsidR="00A76C66">
        <w:rPr>
          <w:sz w:val="22"/>
          <w:szCs w:val="22"/>
        </w:rPr>
        <w:t>disruption</w:t>
      </w:r>
      <w:r w:rsidRPr="002B3CF4">
        <w:rPr>
          <w:sz w:val="22"/>
          <w:szCs w:val="22"/>
        </w:rPr>
        <w:t xml:space="preserve"> data on the theory that this represents </w:t>
      </w:r>
      <w:r w:rsidR="00A76C66">
        <w:rPr>
          <w:sz w:val="22"/>
          <w:szCs w:val="22"/>
        </w:rPr>
        <w:t>baseline</w:t>
      </w:r>
      <w:r w:rsidRPr="002B3CF4">
        <w:rPr>
          <w:sz w:val="22"/>
          <w:szCs w:val="22"/>
        </w:rPr>
        <w:t xml:space="preserve"> operations</w:t>
      </w:r>
      <w:r w:rsidR="00A76C66">
        <w:rPr>
          <w:sz w:val="22"/>
          <w:szCs w:val="22"/>
        </w:rPr>
        <w:t>, though this approach becomes less defensible as the temporal distance from disruption increases</w:t>
      </w:r>
      <w:r w:rsidRPr="002B3CF4">
        <w:rPr>
          <w:sz w:val="22"/>
          <w:szCs w:val="22"/>
        </w:rPr>
        <w:t>. Alternatively, franchisors can base projections on the most recent fiscal year. A more transparent approach is to present performance data for multiple periods (pre-</w:t>
      </w:r>
      <w:r w:rsidR="00A76C66">
        <w:rPr>
          <w:sz w:val="22"/>
          <w:szCs w:val="22"/>
        </w:rPr>
        <w:t>disruption</w:t>
      </w:r>
      <w:r w:rsidRPr="002B3CF4">
        <w:rPr>
          <w:sz w:val="22"/>
          <w:szCs w:val="22"/>
        </w:rPr>
        <w:t xml:space="preserve">, </w:t>
      </w:r>
      <w:r w:rsidR="00A76C66">
        <w:rPr>
          <w:sz w:val="22"/>
          <w:szCs w:val="22"/>
        </w:rPr>
        <w:t>disruption-period</w:t>
      </w:r>
      <w:r w:rsidRPr="002B3CF4">
        <w:rPr>
          <w:sz w:val="22"/>
          <w:szCs w:val="22"/>
        </w:rPr>
        <w:t>, and post-</w:t>
      </w:r>
      <w:r w:rsidR="00A76C66">
        <w:rPr>
          <w:sz w:val="22"/>
          <w:szCs w:val="22"/>
        </w:rPr>
        <w:t>disruption</w:t>
      </w:r>
      <w:r w:rsidRPr="002B3CF4">
        <w:rPr>
          <w:sz w:val="22"/>
          <w:szCs w:val="22"/>
        </w:rPr>
        <w:t>) to give prospective franchisees a complete picture of how the system has performed through varying conditions</w:t>
      </w:r>
      <w:r w:rsidR="00A76C66">
        <w:rPr>
          <w:sz w:val="22"/>
          <w:szCs w:val="22"/>
        </w:rPr>
        <w:t xml:space="preserve"> over a longer </w:t>
      </w:r>
      <w:proofErr w:type="gramStart"/>
      <w:r w:rsidR="00A76C66">
        <w:rPr>
          <w:sz w:val="22"/>
          <w:szCs w:val="22"/>
        </w:rPr>
        <w:t>period of time</w:t>
      </w:r>
      <w:proofErr w:type="gramEnd"/>
      <w:r w:rsidRPr="002B3CF4">
        <w:rPr>
          <w:sz w:val="22"/>
          <w:szCs w:val="22"/>
        </w:rPr>
        <w:t xml:space="preserve">. There is no single </w:t>
      </w:r>
      <w:r w:rsidR="00A76C66">
        <w:rPr>
          <w:sz w:val="22"/>
          <w:szCs w:val="22"/>
        </w:rPr>
        <w:t>“</w:t>
      </w:r>
      <w:r w:rsidRPr="002B3CF4">
        <w:rPr>
          <w:sz w:val="22"/>
          <w:szCs w:val="22"/>
        </w:rPr>
        <w:t>correct</w:t>
      </w:r>
      <w:r w:rsidR="00A76C66">
        <w:rPr>
          <w:sz w:val="22"/>
          <w:szCs w:val="22"/>
        </w:rPr>
        <w:t>”</w:t>
      </w:r>
      <w:r w:rsidRPr="002B3CF4">
        <w:rPr>
          <w:sz w:val="22"/>
          <w:szCs w:val="22"/>
        </w:rPr>
        <w:t xml:space="preserve"> approach, but the key is to be transparent about what </w:t>
      </w:r>
      <w:proofErr w:type="gramStart"/>
      <w:r w:rsidRPr="002B3CF4">
        <w:rPr>
          <w:sz w:val="22"/>
          <w:szCs w:val="22"/>
        </w:rPr>
        <w:t>time period</w:t>
      </w:r>
      <w:proofErr w:type="gramEnd"/>
      <w:r w:rsidRPr="002B3CF4">
        <w:rPr>
          <w:sz w:val="22"/>
          <w:szCs w:val="22"/>
        </w:rPr>
        <w:t xml:space="preserve"> is being used and why, and to </w:t>
      </w:r>
      <w:r w:rsidRPr="002B3CF4">
        <w:rPr>
          <w:sz w:val="22"/>
          <w:szCs w:val="22"/>
        </w:rPr>
        <w:lastRenderedPageBreak/>
        <w:t>provide sufficient context for prospective franchisees to understand the relevance of the data to their decision-making.</w:t>
      </w:r>
    </w:p>
    <w:p w14:paraId="1C3082E0" w14:textId="77777777" w:rsidR="002B3CF4" w:rsidRPr="002B3CF4" w:rsidRDefault="002B3CF4" w:rsidP="00212691">
      <w:pPr>
        <w:spacing w:line="276" w:lineRule="auto"/>
        <w:rPr>
          <w:sz w:val="22"/>
          <w:szCs w:val="22"/>
        </w:rPr>
      </w:pPr>
      <w:r w:rsidRPr="002B3CF4">
        <w:rPr>
          <w:sz w:val="22"/>
          <w:szCs w:val="22"/>
        </w:rPr>
        <w:t>In uncertain environments, single-point projections may be less useful than scenario-based presentations that show how results might vary under different conditions. Scenario-based presentations might include a base case scenario (most likely future conditions), an optimistic scenario (favourable conditions), and a conservative scenario (challenging conditions). Such presentations help prospective franchisees understand the range of potential outcomes and the factors that will drive performance.</w:t>
      </w:r>
    </w:p>
    <w:p w14:paraId="0C199362" w14:textId="2C6005CC" w:rsidR="002B3CF4" w:rsidRPr="002B3CF4" w:rsidRDefault="002B3CF4" w:rsidP="00212691">
      <w:pPr>
        <w:spacing w:line="276" w:lineRule="auto"/>
        <w:rPr>
          <w:sz w:val="22"/>
          <w:szCs w:val="22"/>
        </w:rPr>
      </w:pPr>
      <w:r w:rsidRPr="002B3CF4">
        <w:rPr>
          <w:sz w:val="22"/>
          <w:szCs w:val="22"/>
        </w:rPr>
        <w:t xml:space="preserve">Perhaps the most important principle for </w:t>
      </w:r>
      <w:r w:rsidR="000B2BB4">
        <w:rPr>
          <w:sz w:val="22"/>
          <w:szCs w:val="22"/>
        </w:rPr>
        <w:t>Earnings Projection</w:t>
      </w:r>
      <w:r w:rsidRPr="002B3CF4">
        <w:rPr>
          <w:sz w:val="22"/>
          <w:szCs w:val="22"/>
        </w:rPr>
        <w:t>s in uncertain times is transparency about the limitations of the projections and the degree of uncertainty involved. Franchisors should specifically identify the factors that create uncertainty, explain how they might affect performance, provide context about how the franchise system has navigated recent challenges, and maintain a balanced tone that acknowledges uncertainties without being unduly pessimistic.</w:t>
      </w:r>
    </w:p>
    <w:p w14:paraId="4C37DF6E" w14:textId="77777777" w:rsidR="002B3CF4" w:rsidRPr="002B3CF4" w:rsidRDefault="002B3CF4" w:rsidP="00212691">
      <w:pPr>
        <w:spacing w:line="276" w:lineRule="auto"/>
        <w:rPr>
          <w:sz w:val="22"/>
          <w:szCs w:val="22"/>
        </w:rPr>
      </w:pPr>
      <w:r w:rsidRPr="002B3CF4">
        <w:rPr>
          <w:sz w:val="22"/>
          <w:szCs w:val="22"/>
        </w:rPr>
        <w:t>Different franchise industries have been affected differently by recent economic volatility. Some industries experienced pandemic-driven growth and face the challenge of determining whether elevated demand levels are sustainable. Franchisors in sectors that experienced significant declines must assess whether recovery to pre-pandemic levels is realistic or whether structural changes have permanently altered demand. Many franchise systems have experienced significant cost volatility due to supply chain disruptions, inflation, and other factors. Earnings projections must address these challenges by using current cost levels rather than historical averages for key expense categories, providing ranges for volatile cost categories, explaining assumptions about future cost trends, and identifying which costs are most subject to volatility.</w:t>
      </w:r>
    </w:p>
    <w:p w14:paraId="16836E15" w14:textId="77777777" w:rsidR="002B3CF4" w:rsidRPr="002B3CF4" w:rsidRDefault="002B3CF4" w:rsidP="00212691">
      <w:pPr>
        <w:spacing w:line="276" w:lineRule="auto"/>
        <w:rPr>
          <w:sz w:val="22"/>
          <w:szCs w:val="22"/>
        </w:rPr>
      </w:pPr>
      <w:r w:rsidRPr="002B3CF4">
        <w:rPr>
          <w:sz w:val="22"/>
          <w:szCs w:val="22"/>
        </w:rPr>
        <w:t>Franchisors should actively encourage prospective franchisees to conduct independent due diligence by recommending consultation with accountants, lawyers, and business advisors, facilitating contact with existing franchisees, providing access to substantiating information for verification, encouraging prospects to conduct their own market research and financial analysis, and allowing adequate time for due diligence before requiring commitments.</w:t>
      </w:r>
    </w:p>
    <w:p w14:paraId="4B22DD6A" w14:textId="300E08F4" w:rsidR="002B3CF4" w:rsidRPr="00A76C66" w:rsidRDefault="002B3CF4" w:rsidP="00212691">
      <w:pPr>
        <w:spacing w:line="276" w:lineRule="auto"/>
        <w:rPr>
          <w:b/>
          <w:bCs/>
          <w:i/>
          <w:iCs/>
          <w:sz w:val="22"/>
          <w:szCs w:val="22"/>
        </w:rPr>
      </w:pPr>
      <w:r w:rsidRPr="00A76C66">
        <w:rPr>
          <w:b/>
          <w:bCs/>
          <w:i/>
          <w:iCs/>
          <w:sz w:val="22"/>
          <w:szCs w:val="22"/>
        </w:rPr>
        <w:t>Conclusion: Excellence as Competitive Advantage</w:t>
      </w:r>
    </w:p>
    <w:p w14:paraId="139517C8" w14:textId="3347297F" w:rsidR="002B3CF4" w:rsidRPr="002B3CF4" w:rsidRDefault="002B3CF4" w:rsidP="00212691">
      <w:pPr>
        <w:spacing w:line="276" w:lineRule="auto"/>
        <w:rPr>
          <w:sz w:val="22"/>
          <w:szCs w:val="22"/>
        </w:rPr>
      </w:pPr>
      <w:r w:rsidRPr="002B3CF4">
        <w:rPr>
          <w:sz w:val="22"/>
          <w:szCs w:val="22"/>
        </w:rPr>
        <w:t>The legislative and judicial framework underscores the necessity for franchisors to ensure that all financial performance representations are fully substantiated, clearly presented, and accompanied by all required supporting information, within a single, comprehensive disclosure document. In an environment of strict judicial interpretation and significant consequences for non-compliance, excellence in financial disclosure serves multiple objectives beyond mere legal compliance.</w:t>
      </w:r>
    </w:p>
    <w:p w14:paraId="52A85BDE" w14:textId="04545701" w:rsidR="006B1C5D" w:rsidRDefault="002B3CF4" w:rsidP="00E05960">
      <w:pPr>
        <w:spacing w:line="276" w:lineRule="auto"/>
        <w:rPr>
          <w:sz w:val="22"/>
          <w:szCs w:val="22"/>
        </w:rPr>
      </w:pPr>
      <w:r w:rsidRPr="002B3CF4">
        <w:rPr>
          <w:sz w:val="22"/>
          <w:szCs w:val="22"/>
        </w:rPr>
        <w:t xml:space="preserve">Compliant, well-substantiated, transparent </w:t>
      </w:r>
      <w:r w:rsidR="000B2BB4">
        <w:rPr>
          <w:sz w:val="22"/>
          <w:szCs w:val="22"/>
        </w:rPr>
        <w:t>Earnings Projection</w:t>
      </w:r>
      <w:r w:rsidRPr="002B3CF4">
        <w:rPr>
          <w:sz w:val="22"/>
          <w:szCs w:val="22"/>
        </w:rPr>
        <w:t xml:space="preserve">s build trust with prospective franchisees, attract qualified franchisee candidates who appreciate transparency, set realistic expectations that reduce future disputes, and lay the foundation for successful long-term franchisor-franchisee relationships. In unstable economic times, franchisors who demonstrate thoughtfulness, transparency, and realism in their financial disclosures will differentiate themselves in the marketplace and position their systems for sustainable growth. The investment in developing comprehensive, compliant </w:t>
      </w:r>
      <w:r w:rsidR="000B2BB4">
        <w:rPr>
          <w:sz w:val="22"/>
          <w:szCs w:val="22"/>
        </w:rPr>
        <w:t>Earnings Projection</w:t>
      </w:r>
      <w:r w:rsidRPr="002B3CF4">
        <w:rPr>
          <w:sz w:val="22"/>
          <w:szCs w:val="22"/>
        </w:rPr>
        <w:t>s</w:t>
      </w:r>
      <w:r w:rsidR="001C303C">
        <w:rPr>
          <w:sz w:val="22"/>
          <w:szCs w:val="22"/>
        </w:rPr>
        <w:t xml:space="preserve"> – </w:t>
      </w:r>
      <w:r w:rsidRPr="002B3CF4">
        <w:rPr>
          <w:sz w:val="22"/>
          <w:szCs w:val="22"/>
        </w:rPr>
        <w:t>or in thoughtfully explaining the decision not to provide them</w:t>
      </w:r>
      <w:r w:rsidR="001C303C">
        <w:rPr>
          <w:sz w:val="22"/>
          <w:szCs w:val="22"/>
        </w:rPr>
        <w:t xml:space="preserve"> – </w:t>
      </w:r>
      <w:r w:rsidRPr="002B3CF4">
        <w:rPr>
          <w:sz w:val="22"/>
          <w:szCs w:val="22"/>
        </w:rPr>
        <w:t>is an investment in the quality of the franchise system and the success of its franchisees.</w:t>
      </w:r>
    </w:p>
    <w:p w14:paraId="329A78F6" w14:textId="77777777" w:rsidR="006B1C5D" w:rsidRDefault="006B1C5D">
      <w:pPr>
        <w:spacing w:after="0"/>
        <w:jc w:val="left"/>
        <w:rPr>
          <w:sz w:val="22"/>
          <w:szCs w:val="22"/>
        </w:rPr>
      </w:pPr>
      <w:r>
        <w:rPr>
          <w:sz w:val="22"/>
          <w:szCs w:val="22"/>
        </w:rPr>
        <w:lastRenderedPageBreak/>
        <w:br w:type="page"/>
      </w:r>
    </w:p>
    <w:p w14:paraId="4B5E8655" w14:textId="37442FC0" w:rsidR="006B1C5D" w:rsidRDefault="006B1C5D" w:rsidP="006B1C5D">
      <w:pPr>
        <w:spacing w:line="276" w:lineRule="auto"/>
        <w:jc w:val="center"/>
        <w:rPr>
          <w:b/>
          <w:bCs/>
          <w:sz w:val="22"/>
          <w:szCs w:val="22"/>
        </w:rPr>
      </w:pPr>
      <w:r w:rsidRPr="006B1C5D">
        <w:rPr>
          <w:b/>
          <w:bCs/>
          <w:sz w:val="22"/>
          <w:szCs w:val="22"/>
        </w:rPr>
        <w:lastRenderedPageBreak/>
        <w:t>Appendix</w:t>
      </w:r>
    </w:p>
    <w:p w14:paraId="4DE8AF37" w14:textId="77777777" w:rsidR="006B1C5D" w:rsidRDefault="006B1C5D">
      <w:pPr>
        <w:spacing w:after="0"/>
        <w:jc w:val="left"/>
        <w:rPr>
          <w:b/>
          <w:bCs/>
          <w:sz w:val="22"/>
          <w:szCs w:val="22"/>
        </w:rPr>
      </w:pPr>
      <w:r>
        <w:rPr>
          <w:b/>
          <w:bCs/>
          <w:sz w:val="22"/>
          <w:szCs w:val="22"/>
        </w:rPr>
        <w:br w:type="page"/>
      </w:r>
    </w:p>
    <w:p w14:paraId="4708F4C3" w14:textId="77777777" w:rsidR="006B1C5D" w:rsidRDefault="006B1C5D" w:rsidP="006B1C5D">
      <w:pPr>
        <w:pStyle w:val="FootnoteText"/>
        <w:rPr>
          <w:sz w:val="24"/>
          <w:szCs w:val="24"/>
        </w:rPr>
      </w:pPr>
      <w:r>
        <w:rPr>
          <w:sz w:val="24"/>
          <w:szCs w:val="24"/>
        </w:rPr>
        <w:lastRenderedPageBreak/>
        <w:t xml:space="preserve">Enclosed please find </w:t>
      </w:r>
      <w:r w:rsidRPr="00027469">
        <w:rPr>
          <w:sz w:val="24"/>
          <w:szCs w:val="24"/>
        </w:rPr>
        <w:t xml:space="preserve">Earnings Projection </w:t>
      </w:r>
      <w:r>
        <w:rPr>
          <w:sz w:val="24"/>
          <w:szCs w:val="24"/>
        </w:rPr>
        <w:t>for</w:t>
      </w:r>
      <w:r w:rsidRPr="00027469">
        <w:rPr>
          <w:sz w:val="24"/>
          <w:szCs w:val="24"/>
        </w:rPr>
        <w:t xml:space="preserve"> CAMOKO Restaurants</w:t>
      </w:r>
      <w:r>
        <w:rPr>
          <w:sz w:val="24"/>
          <w:szCs w:val="24"/>
        </w:rPr>
        <w:t xml:space="preserve">. </w:t>
      </w:r>
      <w:r w:rsidRPr="00027469">
        <w:rPr>
          <w:sz w:val="24"/>
          <w:szCs w:val="24"/>
        </w:rPr>
        <w:t xml:space="preserve"> </w:t>
      </w:r>
      <w:r>
        <w:rPr>
          <w:sz w:val="24"/>
          <w:szCs w:val="24"/>
        </w:rPr>
        <w:t>There is one Earnings Projection based on three different sales histories, as follows:</w:t>
      </w:r>
    </w:p>
    <w:p w14:paraId="3DA2B6D4" w14:textId="77777777" w:rsidR="006B1C5D" w:rsidRDefault="006B1C5D" w:rsidP="006B1C5D">
      <w:pPr>
        <w:pStyle w:val="FootnoteText"/>
        <w:rPr>
          <w:sz w:val="24"/>
          <w:szCs w:val="24"/>
        </w:rPr>
      </w:pPr>
    </w:p>
    <w:p w14:paraId="264CC2A0" w14:textId="77777777" w:rsidR="006B1C5D" w:rsidRDefault="006B1C5D" w:rsidP="006B1C5D">
      <w:pPr>
        <w:pStyle w:val="FootnoteText"/>
        <w:widowControl w:val="0"/>
        <w:numPr>
          <w:ilvl w:val="0"/>
          <w:numId w:val="33"/>
        </w:numPr>
        <w:tabs>
          <w:tab w:val="clear" w:pos="720"/>
        </w:tabs>
        <w:autoSpaceDE w:val="0"/>
        <w:autoSpaceDN w:val="0"/>
        <w:adjustRightInd w:val="0"/>
        <w:ind w:hanging="720"/>
        <w:rPr>
          <w:sz w:val="24"/>
          <w:szCs w:val="24"/>
        </w:rPr>
      </w:pPr>
      <w:r>
        <w:rPr>
          <w:sz w:val="24"/>
          <w:szCs w:val="24"/>
        </w:rPr>
        <w:t>B</w:t>
      </w:r>
      <w:r w:rsidRPr="00027469">
        <w:rPr>
          <w:sz w:val="24"/>
          <w:szCs w:val="24"/>
        </w:rPr>
        <w:t>ased on the actual results of operations</w:t>
      </w:r>
      <w:r>
        <w:rPr>
          <w:sz w:val="24"/>
          <w:szCs w:val="24"/>
        </w:rPr>
        <w:t xml:space="preserve"> of its franchisees and corporate locations across Canada coinciding with a pre-COVID period.  The actual results of operations could be presented on their own as historical data.</w:t>
      </w:r>
    </w:p>
    <w:p w14:paraId="69D34545" w14:textId="77777777" w:rsidR="006B1C5D" w:rsidRDefault="006B1C5D" w:rsidP="006B1C5D">
      <w:pPr>
        <w:pStyle w:val="FootnoteText"/>
        <w:rPr>
          <w:sz w:val="24"/>
          <w:szCs w:val="24"/>
        </w:rPr>
      </w:pPr>
    </w:p>
    <w:p w14:paraId="69155D67" w14:textId="77777777" w:rsidR="006B1C5D" w:rsidRDefault="006B1C5D" w:rsidP="006B1C5D">
      <w:pPr>
        <w:pStyle w:val="FootnoteText"/>
        <w:widowControl w:val="0"/>
        <w:numPr>
          <w:ilvl w:val="0"/>
          <w:numId w:val="33"/>
        </w:numPr>
        <w:tabs>
          <w:tab w:val="clear" w:pos="720"/>
        </w:tabs>
        <w:autoSpaceDE w:val="0"/>
        <w:autoSpaceDN w:val="0"/>
        <w:adjustRightInd w:val="0"/>
        <w:ind w:hanging="720"/>
        <w:rPr>
          <w:sz w:val="24"/>
          <w:szCs w:val="24"/>
        </w:rPr>
      </w:pPr>
      <w:r>
        <w:rPr>
          <w:sz w:val="24"/>
          <w:szCs w:val="24"/>
        </w:rPr>
        <w:t xml:space="preserve">Based on the results of </w:t>
      </w:r>
      <w:r w:rsidRPr="00027469">
        <w:rPr>
          <w:sz w:val="24"/>
          <w:szCs w:val="24"/>
        </w:rPr>
        <w:t>operations</w:t>
      </w:r>
      <w:r>
        <w:rPr>
          <w:sz w:val="24"/>
          <w:szCs w:val="24"/>
        </w:rPr>
        <w:t xml:space="preserve"> of its franchisees and corporate locations across Canada coinciding with a post-COVID period.  To present the Earnings Projection based COMOKO Restaurants must detail the various assumptions which management believe </w:t>
      </w:r>
      <w:r w:rsidRPr="00C762A2">
        <w:rPr>
          <w:sz w:val="24"/>
          <w:szCs w:val="24"/>
        </w:rPr>
        <w:t>reflects the most likely outcome of events</w:t>
      </w:r>
      <w:r>
        <w:rPr>
          <w:sz w:val="24"/>
          <w:szCs w:val="24"/>
        </w:rPr>
        <w:t xml:space="preserve">.  </w:t>
      </w:r>
    </w:p>
    <w:p w14:paraId="73AD237D" w14:textId="77777777" w:rsidR="006B1C5D" w:rsidRDefault="006B1C5D" w:rsidP="006B1C5D">
      <w:pPr>
        <w:pStyle w:val="ListParagraph"/>
      </w:pPr>
    </w:p>
    <w:p w14:paraId="543761E7" w14:textId="77777777" w:rsidR="006B1C5D" w:rsidRDefault="006B1C5D" w:rsidP="006B1C5D">
      <w:pPr>
        <w:pStyle w:val="FootnoteText"/>
        <w:widowControl w:val="0"/>
        <w:numPr>
          <w:ilvl w:val="0"/>
          <w:numId w:val="33"/>
        </w:numPr>
        <w:tabs>
          <w:tab w:val="clear" w:pos="720"/>
        </w:tabs>
        <w:autoSpaceDE w:val="0"/>
        <w:autoSpaceDN w:val="0"/>
        <w:adjustRightInd w:val="0"/>
        <w:ind w:hanging="720"/>
        <w:rPr>
          <w:sz w:val="24"/>
          <w:szCs w:val="24"/>
        </w:rPr>
      </w:pPr>
      <w:r>
        <w:rPr>
          <w:sz w:val="24"/>
          <w:szCs w:val="24"/>
        </w:rPr>
        <w:t xml:space="preserve">Based on the results of </w:t>
      </w:r>
      <w:r w:rsidRPr="00027469">
        <w:rPr>
          <w:sz w:val="24"/>
          <w:szCs w:val="24"/>
        </w:rPr>
        <w:t>operations</w:t>
      </w:r>
      <w:r>
        <w:rPr>
          <w:sz w:val="24"/>
          <w:szCs w:val="24"/>
        </w:rPr>
        <w:t xml:space="preserve"> of its franchisees and corporate locations across Canada coinciding with the period from 2025 to 2027 – this is a future period in which we anticipate lower sales, based on a tightening of consumer spending and increased costs.  To present the Earnings Projection based COMOKO Restaurants must detail the various assumptions which management believe </w:t>
      </w:r>
      <w:r w:rsidRPr="00C762A2">
        <w:rPr>
          <w:sz w:val="24"/>
          <w:szCs w:val="24"/>
        </w:rPr>
        <w:t xml:space="preserve">reflects the most favourable outcome of events.  </w:t>
      </w:r>
    </w:p>
    <w:p w14:paraId="6BB3BF8B" w14:textId="77777777" w:rsidR="006B1C5D" w:rsidRDefault="006B1C5D" w:rsidP="006B1C5D">
      <w:pPr>
        <w:pStyle w:val="ListParagraph"/>
        <w:ind w:left="0"/>
      </w:pPr>
    </w:p>
    <w:p w14:paraId="69C83586" w14:textId="77777777" w:rsidR="006B1C5D" w:rsidRDefault="006B1C5D" w:rsidP="006B1C5D">
      <w:pPr>
        <w:pStyle w:val="ListParagraph"/>
        <w:ind w:left="0"/>
      </w:pPr>
      <w:r>
        <w:t>The following explanations should be included in providing any Earnings</w:t>
      </w:r>
      <w:r w:rsidRPr="00E8652E">
        <w:t xml:space="preserve"> </w:t>
      </w:r>
      <w:r>
        <w:t>P</w:t>
      </w:r>
      <w:r w:rsidRPr="00E8652E">
        <w:t>rojection</w:t>
      </w:r>
      <w:r>
        <w:t>:</w:t>
      </w:r>
    </w:p>
    <w:p w14:paraId="40BA439A" w14:textId="77777777" w:rsidR="006B1C5D" w:rsidRDefault="006B1C5D" w:rsidP="006B1C5D">
      <w:pPr>
        <w:pStyle w:val="Default"/>
        <w:jc w:val="both"/>
      </w:pPr>
    </w:p>
    <w:p w14:paraId="44C03054" w14:textId="77777777" w:rsidR="006B1C5D" w:rsidRDefault="006B1C5D" w:rsidP="006B1C5D">
      <w:pPr>
        <w:pStyle w:val="Default"/>
        <w:numPr>
          <w:ilvl w:val="0"/>
          <w:numId w:val="35"/>
        </w:numPr>
        <w:jc w:val="both"/>
      </w:pPr>
      <w:r>
        <w:t xml:space="preserve">The </w:t>
      </w:r>
      <w:proofErr w:type="gramStart"/>
      <w:r>
        <w:t>period of time</w:t>
      </w:r>
      <w:proofErr w:type="gramEnd"/>
      <w:r>
        <w:t xml:space="preserve"> covered by the Earnings Projection (if based on historical data)</w:t>
      </w:r>
    </w:p>
    <w:p w14:paraId="1C0AE800" w14:textId="77777777" w:rsidR="006B1C5D" w:rsidRDefault="006B1C5D" w:rsidP="006B1C5D">
      <w:pPr>
        <w:pStyle w:val="Default"/>
        <w:numPr>
          <w:ilvl w:val="0"/>
          <w:numId w:val="35"/>
        </w:numPr>
        <w:jc w:val="both"/>
      </w:pPr>
      <w:r>
        <w:t>Identify whether the Earnings Projection represents: (i) actual results of operations (</w:t>
      </w:r>
      <w:r w:rsidRPr="004974D8">
        <w:t>Actual Financial Results for the CAMOKO Restaurant Franchise System for Pre-COVID Years</w:t>
      </w:r>
      <w:r>
        <w:t>); (ii) an earnings projection based on actual results (Earnings Projection for the CAMOKO Restaurant Franchise System); (iii) an Earnings Projection based on assumptions which the franchisor believes reflects the most likely outcome of events (</w:t>
      </w:r>
      <w:r w:rsidRPr="004974D8">
        <w:t>Actual Financial Results for the CAMOKO Restaurant Franchise System for P</w:t>
      </w:r>
      <w:r>
        <w:t>ost</w:t>
      </w:r>
      <w:r w:rsidRPr="004974D8">
        <w:t>-COVID Years</w:t>
      </w:r>
      <w:r>
        <w:t xml:space="preserve">); and (iv) an Earnings Projection based on </w:t>
      </w:r>
      <w:r w:rsidRPr="004974D8">
        <w:t>assumptions which management believe reflects the most favourable outcome of events</w:t>
      </w:r>
      <w:r>
        <w:t xml:space="preserve"> (</w:t>
      </w:r>
      <w:r w:rsidRPr="004974D8">
        <w:t>Actual Financial Results for the CAMOKO Restaurant Franchise System for the Recession/Increased Cost Years</w:t>
      </w:r>
      <w:r>
        <w:t>)</w:t>
      </w:r>
    </w:p>
    <w:p w14:paraId="69730789" w14:textId="77777777" w:rsidR="006B1C5D" w:rsidRDefault="006B1C5D" w:rsidP="006B1C5D">
      <w:pPr>
        <w:pStyle w:val="Default"/>
        <w:numPr>
          <w:ilvl w:val="0"/>
          <w:numId w:val="35"/>
        </w:numPr>
        <w:jc w:val="both"/>
      </w:pPr>
      <w:r>
        <w:t xml:space="preserve">The material assumptions underlying the Earnings Projection.  </w:t>
      </w:r>
      <w:r w:rsidRPr="004974D8">
        <w:t>The assumptions and hypotheses that should be included will depend on the actual historical data available at the time that the Earnings Projection is being prepared.</w:t>
      </w:r>
    </w:p>
    <w:p w14:paraId="7CF5142B" w14:textId="77777777" w:rsidR="006B1C5D" w:rsidRDefault="006B1C5D" w:rsidP="006B1C5D">
      <w:pPr>
        <w:pStyle w:val="Default"/>
        <w:numPr>
          <w:ilvl w:val="0"/>
          <w:numId w:val="35"/>
        </w:numPr>
        <w:jc w:val="both"/>
      </w:pPr>
      <w:r>
        <w:t xml:space="preserve">Whether the Earnings Projection is based on the actual results of all existing franchisees (how many) and/or corporate locations (how many); or only a select number of existing franchisees (how many) and/or corporate locations (how many)  </w:t>
      </w:r>
    </w:p>
    <w:p w14:paraId="6113AA0F" w14:textId="77777777" w:rsidR="006B1C5D" w:rsidRDefault="006B1C5D" w:rsidP="006B1C5D">
      <w:pPr>
        <w:pStyle w:val="Default"/>
        <w:numPr>
          <w:ilvl w:val="0"/>
          <w:numId w:val="35"/>
        </w:numPr>
        <w:jc w:val="both"/>
      </w:pPr>
      <w:r>
        <w:t>Identify whether any franchisees are multi-unit franchisees (they may have greater economies of scale in respect of purchasing and/or labour)</w:t>
      </w:r>
    </w:p>
    <w:p w14:paraId="4A6FE5C7" w14:textId="77777777" w:rsidR="006B1C5D" w:rsidRDefault="006B1C5D" w:rsidP="006B1C5D">
      <w:pPr>
        <w:pStyle w:val="Default"/>
        <w:numPr>
          <w:ilvl w:val="0"/>
          <w:numId w:val="35"/>
        </w:numPr>
        <w:jc w:val="both"/>
      </w:pPr>
      <w:r>
        <w:t>Identify what differences, if any, there are between the operation of a franchised restaurant and a corporate owned restaurant</w:t>
      </w:r>
    </w:p>
    <w:p w14:paraId="41CEE573" w14:textId="77777777" w:rsidR="006B1C5D" w:rsidRDefault="006B1C5D" w:rsidP="006B1C5D">
      <w:pPr>
        <w:pStyle w:val="Default"/>
        <w:numPr>
          <w:ilvl w:val="0"/>
          <w:numId w:val="35"/>
        </w:numPr>
        <w:jc w:val="both"/>
      </w:pPr>
      <w:r>
        <w:t>State, as a percentage, the number of restaurants that have achieved or surpassed the amounts set forth in the Earnings Projection, and where each of these restaurants are located</w:t>
      </w:r>
    </w:p>
    <w:p w14:paraId="394544AB" w14:textId="77777777" w:rsidR="006B1C5D" w:rsidRDefault="006B1C5D" w:rsidP="006B1C5D">
      <w:pPr>
        <w:pStyle w:val="Default"/>
        <w:numPr>
          <w:ilvl w:val="0"/>
          <w:numId w:val="35"/>
        </w:numPr>
        <w:jc w:val="both"/>
      </w:pPr>
      <w:r>
        <w:t xml:space="preserve">If Earnings Projections are based on a select number of franchisees and/or corporate locations then include: (i) the nature and number of franchisees and/or corporate locations forming the select group; (ii) an explanation as to why the specific group of franchisees </w:t>
      </w:r>
      <w:r>
        <w:lastRenderedPageBreak/>
        <w:t>and/or corporate locations were selected; (iii) an explanation of the differences between the information obtained from the selected group might differ from the restaurant being acquired by the prospective franchisee.</w:t>
      </w:r>
    </w:p>
    <w:p w14:paraId="3168306F" w14:textId="77777777" w:rsidR="006B1C5D" w:rsidRDefault="006B1C5D" w:rsidP="006B1C5D">
      <w:pPr>
        <w:pStyle w:val="Default"/>
        <w:numPr>
          <w:ilvl w:val="0"/>
          <w:numId w:val="35"/>
        </w:numPr>
        <w:jc w:val="both"/>
      </w:pPr>
      <w:r>
        <w:t xml:space="preserve">The reasonable basis for the Earnings Projection </w:t>
      </w:r>
    </w:p>
    <w:p w14:paraId="0516E3C6" w14:textId="77777777" w:rsidR="006B1C5D" w:rsidRDefault="006B1C5D" w:rsidP="006B1C5D">
      <w:pPr>
        <w:pStyle w:val="Default"/>
        <w:jc w:val="both"/>
      </w:pPr>
    </w:p>
    <w:p w14:paraId="5A2CE76A" w14:textId="77777777" w:rsidR="006B1C5D" w:rsidRPr="00C762A2" w:rsidRDefault="006B1C5D" w:rsidP="006B1C5D">
      <w:pPr>
        <w:pStyle w:val="FootnoteText"/>
        <w:rPr>
          <w:sz w:val="24"/>
          <w:szCs w:val="24"/>
        </w:rPr>
      </w:pPr>
    </w:p>
    <w:p w14:paraId="07B6A81A" w14:textId="77777777" w:rsidR="006B1C5D" w:rsidRPr="004974D8" w:rsidRDefault="006B1C5D" w:rsidP="006B1C5D">
      <w:pPr>
        <w:jc w:val="center"/>
        <w:rPr>
          <w:b/>
          <w:bCs/>
          <w:u w:val="single"/>
        </w:rPr>
      </w:pPr>
      <w:r w:rsidRPr="00027469">
        <w:rPr>
          <w:u w:val="single"/>
        </w:rPr>
        <w:br w:type="page"/>
      </w:r>
      <w:r w:rsidRPr="004974D8">
        <w:rPr>
          <w:b/>
          <w:bCs/>
          <w:u w:val="single"/>
        </w:rPr>
        <w:lastRenderedPageBreak/>
        <w:t>EARNINGS PROJECTIONS</w:t>
      </w:r>
    </w:p>
    <w:p w14:paraId="055B91B7" w14:textId="77777777" w:rsidR="006B1C5D" w:rsidRPr="00845C03" w:rsidRDefault="006B1C5D" w:rsidP="006B1C5D"/>
    <w:p w14:paraId="24F1C9A9" w14:textId="77777777" w:rsidR="006B1C5D" w:rsidRPr="00845C03" w:rsidRDefault="006B1C5D" w:rsidP="006B1C5D">
      <w:r>
        <w:t>Other than as set out below, t</w:t>
      </w:r>
      <w:r w:rsidRPr="00845C03">
        <w:t xml:space="preserve">he </w:t>
      </w:r>
      <w:r>
        <w:t>Franchisor</w:t>
      </w:r>
      <w:r w:rsidRPr="00845C03">
        <w:t xml:space="preserve"> does not furnish or authorize our </w:t>
      </w:r>
      <w:r>
        <w:t>employees</w:t>
      </w:r>
      <w:r w:rsidRPr="00845C03">
        <w:t xml:space="preserve"> or anyone else to furnish any oral or written information concerning the actual or potential sales, costs, income or profits or other historical results, projections or otherwise (or representations regarding any working capital or other funds necessary to reach any “break-even” or any other financial level) of a </w:t>
      </w:r>
      <w:r>
        <w:t xml:space="preserve">CAMOKO Restaurants </w:t>
      </w:r>
      <w:r w:rsidRPr="00845C03">
        <w:t xml:space="preserve">franchise. Since actual results vary from territory to territory, we cannot estimate the results of any </w:t>
      </w:r>
      <w:proofErr w:type="gramStart"/>
      <w:r w:rsidRPr="00845C03">
        <w:t>particular franchise</w:t>
      </w:r>
      <w:proofErr w:type="gramEnd"/>
      <w:r w:rsidRPr="00845C03">
        <w:t xml:space="preserve"> and cannot reliably predict, forecast or project future performance, </w:t>
      </w:r>
      <w:r>
        <w:t>gross revenues</w:t>
      </w:r>
      <w:r w:rsidRPr="00845C03">
        <w:t xml:space="preserve">, </w:t>
      </w:r>
      <w:r>
        <w:t xml:space="preserve">earnings, </w:t>
      </w:r>
      <w:r w:rsidRPr="00845C03">
        <w:t xml:space="preserve">profits or otherwise of any </w:t>
      </w:r>
      <w:r>
        <w:t>CAMOKO</w:t>
      </w:r>
      <w:r w:rsidRPr="00845C03">
        <w:t xml:space="preserve"> </w:t>
      </w:r>
      <w:r>
        <w:t xml:space="preserve">Restaurants </w:t>
      </w:r>
      <w:r w:rsidRPr="00845C03">
        <w:t>franchise</w:t>
      </w:r>
      <w:r>
        <w:t>,</w:t>
      </w:r>
      <w:r w:rsidRPr="00845C03">
        <w:t xml:space="preserve"> </w:t>
      </w:r>
      <w:r>
        <w:t>i</w:t>
      </w:r>
      <w:r w:rsidRPr="00845C03">
        <w:t>ncluding ones owned and/or operated by us, due to the large number of factors outside our control.  We certainly cannot predict what your results might be.</w:t>
      </w:r>
    </w:p>
    <w:p w14:paraId="1BB0270D" w14:textId="77777777" w:rsidR="006B1C5D" w:rsidRDefault="006B1C5D" w:rsidP="006B1C5D">
      <w:r>
        <w:t>Other than as set out below, i</w:t>
      </w:r>
      <w:r w:rsidRPr="00845C03">
        <w:t>f any such information, promises, representations and/or warranties ha</w:t>
      </w:r>
      <w:r>
        <w:t>ve</w:t>
      </w:r>
      <w:r w:rsidRPr="00845C03">
        <w:t xml:space="preserve"> been provided to you, they have not been authorized, they should not be relied on, we will not be bound by them, and, if you do rely on such information, promises, representations and/or warranties, you do so at your own risk. If, however, </w:t>
      </w:r>
      <w:r>
        <w:t>any of our employees do</w:t>
      </w:r>
      <w:r w:rsidRPr="00845C03">
        <w:t xml:space="preserve"> furnish you with any oral or written information concerning the actual or potential sales, costs, income or profits or other historical results, projections or otherwise of a </w:t>
      </w:r>
      <w:r>
        <w:t>CAMOKO</w:t>
      </w:r>
      <w:r w:rsidRPr="00845C03">
        <w:t xml:space="preserve"> </w:t>
      </w:r>
      <w:r>
        <w:t>Restaurants</w:t>
      </w:r>
      <w:r w:rsidRPr="00845C03">
        <w:t xml:space="preserve"> franchise, we urge you to </w:t>
      </w:r>
      <w:r>
        <w:t xml:space="preserve">immediately notify Ashely Caldwell, Andrae Marrocco or David </w:t>
      </w:r>
      <w:proofErr w:type="spellStart"/>
      <w:r>
        <w:t>Kornahsuer</w:t>
      </w:r>
      <w:proofErr w:type="spellEnd"/>
      <w:r w:rsidRPr="00845C03">
        <w:t xml:space="preserve">, in writing, with respect to such information prior to the purchase of your </w:t>
      </w:r>
      <w:r>
        <w:t>CAMOKO Restaurants</w:t>
      </w:r>
      <w:r w:rsidRPr="00845C03">
        <w:t xml:space="preserve"> franchise, that is, prior to the signing of your </w:t>
      </w:r>
      <w:r>
        <w:t xml:space="preserve">Franchise </w:t>
      </w:r>
      <w:r w:rsidRPr="00845C03">
        <w:t>Deposit Agreement and/or Franchise Agreement, as the case may be.  M</w:t>
      </w:r>
      <w:r>
        <w:t>s. Caldwell</w:t>
      </w:r>
      <w:r w:rsidRPr="001854DE">
        <w:t xml:space="preserve"> </w:t>
      </w:r>
      <w:r w:rsidRPr="00845C03">
        <w:t xml:space="preserve">can be reached via </w:t>
      </w:r>
      <w:r>
        <w:t xml:space="preserve">email at </w:t>
      </w:r>
      <w:hyperlink r:id="rId9" w:history="1">
        <w:r w:rsidRPr="00E702DD">
          <w:rPr>
            <w:rStyle w:val="Hyperlink"/>
          </w:rPr>
          <w:t>ashely@camoko.ca</w:t>
        </w:r>
      </w:hyperlink>
      <w:r>
        <w:t xml:space="preserve">, Mr. Marrocco can be reached via e-mail at </w:t>
      </w:r>
      <w:hyperlink r:id="rId10" w:history="1">
        <w:r w:rsidRPr="00E702DD">
          <w:rPr>
            <w:rStyle w:val="Hyperlink"/>
          </w:rPr>
          <w:t>andrae@camoko.ca</w:t>
        </w:r>
      </w:hyperlink>
      <w:r>
        <w:t xml:space="preserve">, and/or Mr. Kornhauser </w:t>
      </w:r>
      <w:r w:rsidRPr="00845C03">
        <w:t xml:space="preserve">can be reached via </w:t>
      </w:r>
      <w:r>
        <w:t xml:space="preserve">email at </w:t>
      </w:r>
      <w:hyperlink r:id="rId11" w:history="1">
        <w:r w:rsidRPr="00E702DD">
          <w:rPr>
            <w:rStyle w:val="Hyperlink"/>
          </w:rPr>
          <w:t>david@camoko.ca</w:t>
        </w:r>
      </w:hyperlink>
      <w:r>
        <w:t>.</w:t>
      </w:r>
    </w:p>
    <w:p w14:paraId="00B1115B" w14:textId="77777777" w:rsidR="006B1C5D" w:rsidRDefault="006B1C5D" w:rsidP="006B1C5D">
      <w:pPr>
        <w:pStyle w:val="Heading3"/>
        <w:numPr>
          <w:ilvl w:val="0"/>
          <w:numId w:val="0"/>
        </w:numPr>
        <w:rPr>
          <w:szCs w:val="24"/>
        </w:rPr>
      </w:pPr>
      <w:r w:rsidRPr="006B67EE">
        <w:rPr>
          <w:szCs w:val="24"/>
        </w:rPr>
        <w:t xml:space="preserve">Hypotheses and Assumptions to </w:t>
      </w:r>
      <w:r>
        <w:rPr>
          <w:szCs w:val="24"/>
        </w:rPr>
        <w:t xml:space="preserve">CAMOKO Restaurants </w:t>
      </w:r>
      <w:r w:rsidRPr="006B67EE">
        <w:rPr>
          <w:szCs w:val="24"/>
        </w:rPr>
        <w:t>Earnings Projection</w:t>
      </w:r>
      <w:r>
        <w:rPr>
          <w:szCs w:val="24"/>
        </w:rPr>
        <w:t>s</w:t>
      </w:r>
    </w:p>
    <w:p w14:paraId="23F389D5" w14:textId="77777777" w:rsidR="006B1C5D" w:rsidRPr="00F4055F" w:rsidRDefault="006B1C5D" w:rsidP="006B1C5D"/>
    <w:p w14:paraId="50FB6594" w14:textId="77777777" w:rsidR="006B1C5D" w:rsidRPr="00E8652E" w:rsidRDefault="006B1C5D" w:rsidP="006B1C5D">
      <w:pPr>
        <w:pStyle w:val="Default"/>
        <w:numPr>
          <w:ilvl w:val="0"/>
          <w:numId w:val="32"/>
        </w:numPr>
        <w:jc w:val="both"/>
        <w:rPr>
          <w:b/>
        </w:rPr>
      </w:pPr>
      <w:r w:rsidRPr="00E8652E">
        <w:rPr>
          <w:b/>
        </w:rPr>
        <w:t>Introduction</w:t>
      </w:r>
    </w:p>
    <w:p w14:paraId="5774C2C2" w14:textId="77777777" w:rsidR="006B1C5D" w:rsidRPr="00E8652E" w:rsidRDefault="006B1C5D" w:rsidP="006B1C5D">
      <w:pPr>
        <w:pStyle w:val="Default"/>
        <w:jc w:val="both"/>
        <w:rPr>
          <w:b/>
        </w:rPr>
      </w:pPr>
    </w:p>
    <w:p w14:paraId="3560627F" w14:textId="77777777" w:rsidR="006B1C5D" w:rsidRDefault="006B1C5D" w:rsidP="006B1C5D">
      <w:pPr>
        <w:pStyle w:val="Default"/>
        <w:jc w:val="both"/>
      </w:pPr>
      <w:r w:rsidRPr="00E8652E">
        <w:t xml:space="preserve">The purpose of the presentation of this </w:t>
      </w:r>
      <w:r>
        <w:t>Earnings</w:t>
      </w:r>
      <w:r w:rsidRPr="00E8652E">
        <w:t xml:space="preserve"> </w:t>
      </w:r>
      <w:r>
        <w:t>P</w:t>
      </w:r>
      <w:r w:rsidRPr="00E8652E">
        <w:t xml:space="preserve">rojection is to provide additional information to prospective franchisees based on assumptions and hypotheses outlined below. The following assumptions were developed by management.  </w:t>
      </w:r>
    </w:p>
    <w:p w14:paraId="4DAF69B1" w14:textId="77777777" w:rsidR="006B1C5D" w:rsidRPr="00E8652E" w:rsidRDefault="006B1C5D" w:rsidP="006B1C5D">
      <w:pPr>
        <w:pStyle w:val="Default"/>
        <w:jc w:val="both"/>
      </w:pPr>
    </w:p>
    <w:p w14:paraId="5D76970C" w14:textId="77777777" w:rsidR="006B1C5D" w:rsidRPr="00E8652E" w:rsidRDefault="006B1C5D" w:rsidP="006B1C5D">
      <w:pPr>
        <w:pStyle w:val="Default"/>
        <w:numPr>
          <w:ilvl w:val="0"/>
          <w:numId w:val="32"/>
        </w:numPr>
        <w:jc w:val="both"/>
        <w:rPr>
          <w:b/>
          <w:bCs/>
        </w:rPr>
      </w:pPr>
      <w:r w:rsidRPr="00E8652E">
        <w:rPr>
          <w:b/>
          <w:bCs/>
        </w:rPr>
        <w:t xml:space="preserve">Variations and Changes to the </w:t>
      </w:r>
      <w:r>
        <w:rPr>
          <w:b/>
          <w:bCs/>
        </w:rPr>
        <w:t>Earnings Projections</w:t>
      </w:r>
    </w:p>
    <w:p w14:paraId="298D88D8" w14:textId="77777777" w:rsidR="006B1C5D" w:rsidRPr="00E8652E" w:rsidRDefault="006B1C5D" w:rsidP="006B1C5D">
      <w:pPr>
        <w:pStyle w:val="Default"/>
        <w:ind w:left="360" w:hanging="360"/>
        <w:jc w:val="both"/>
      </w:pPr>
    </w:p>
    <w:p w14:paraId="35C78602" w14:textId="77777777" w:rsidR="006B1C5D" w:rsidRPr="00E8652E" w:rsidRDefault="006B1C5D" w:rsidP="006B1C5D">
      <w:pPr>
        <w:pStyle w:val="Default"/>
        <w:jc w:val="both"/>
      </w:pPr>
      <w:r w:rsidRPr="00E8652E">
        <w:t xml:space="preserve">While every attempt has been made to accurately prepare </w:t>
      </w:r>
      <w:r>
        <w:t xml:space="preserve">earnings </w:t>
      </w:r>
      <w:r w:rsidRPr="00E8652E">
        <w:t>p</w:t>
      </w:r>
      <w:r>
        <w:t xml:space="preserve">rojections </w:t>
      </w:r>
      <w:r w:rsidRPr="00E8652E">
        <w:t xml:space="preserve">actual results achieved are likely to vary from the </w:t>
      </w:r>
      <w:r>
        <w:t xml:space="preserve">Earnings </w:t>
      </w:r>
      <w:r w:rsidRPr="00E8652E">
        <w:t xml:space="preserve">Projection presented, and this variation could be material. </w:t>
      </w:r>
      <w:r>
        <w:t xml:space="preserve"> There is no assurance of any future earnings in respect of any actual or proposed CAMOKO Restaurant. </w:t>
      </w:r>
    </w:p>
    <w:p w14:paraId="426CD5C4" w14:textId="77777777" w:rsidR="006B1C5D" w:rsidRPr="00E8652E" w:rsidRDefault="006B1C5D" w:rsidP="006B1C5D">
      <w:pPr>
        <w:pStyle w:val="Default"/>
        <w:jc w:val="both"/>
      </w:pPr>
    </w:p>
    <w:p w14:paraId="64518E47" w14:textId="77777777" w:rsidR="006B1C5D" w:rsidRPr="00E8652E" w:rsidRDefault="006B1C5D" w:rsidP="006B1C5D">
      <w:pPr>
        <w:pStyle w:val="Default"/>
        <w:numPr>
          <w:ilvl w:val="0"/>
          <w:numId w:val="32"/>
        </w:numPr>
        <w:jc w:val="both"/>
        <w:rPr>
          <w:b/>
        </w:rPr>
      </w:pPr>
      <w:r w:rsidRPr="00E8652E">
        <w:rPr>
          <w:b/>
        </w:rPr>
        <w:t>Risk</w:t>
      </w:r>
    </w:p>
    <w:p w14:paraId="27CC1DF9" w14:textId="77777777" w:rsidR="006B1C5D" w:rsidRPr="00E8652E" w:rsidRDefault="006B1C5D" w:rsidP="006B1C5D">
      <w:pPr>
        <w:pStyle w:val="Default"/>
        <w:jc w:val="both"/>
        <w:rPr>
          <w:b/>
        </w:rPr>
      </w:pPr>
    </w:p>
    <w:p w14:paraId="5CA6ADAD" w14:textId="77777777" w:rsidR="006B1C5D" w:rsidRPr="00E8652E" w:rsidRDefault="006B1C5D" w:rsidP="006B1C5D">
      <w:pPr>
        <w:pStyle w:val="Default"/>
        <w:jc w:val="both"/>
      </w:pPr>
      <w:r w:rsidRPr="00E8652E">
        <w:t xml:space="preserve">Management considers the following material risk factors that could cause actual results to differ materially from the forward-looking information: </w:t>
      </w:r>
    </w:p>
    <w:p w14:paraId="0161A5FC" w14:textId="77777777" w:rsidR="006B1C5D" w:rsidRPr="00E8652E" w:rsidRDefault="006B1C5D" w:rsidP="006B1C5D">
      <w:pPr>
        <w:pStyle w:val="Default"/>
        <w:jc w:val="both"/>
      </w:pPr>
    </w:p>
    <w:p w14:paraId="1A2969C0" w14:textId="77777777" w:rsidR="006B1C5D" w:rsidRPr="00E8652E" w:rsidRDefault="006B1C5D" w:rsidP="006B1C5D">
      <w:pPr>
        <w:pStyle w:val="Default"/>
        <w:numPr>
          <w:ilvl w:val="0"/>
          <w:numId w:val="31"/>
        </w:numPr>
        <w:jc w:val="both"/>
      </w:pPr>
      <w:r>
        <w:lastRenderedPageBreak/>
        <w:t xml:space="preserve">Level of prior knowledge/success in managing personnel; prior restaurant industry experience of the Franchisee and their </w:t>
      </w:r>
      <w:proofErr w:type="gramStart"/>
      <w:r>
        <w:t>employees</w:t>
      </w:r>
      <w:r w:rsidRPr="00E8652E">
        <w:t>;</w:t>
      </w:r>
      <w:proofErr w:type="gramEnd"/>
    </w:p>
    <w:p w14:paraId="41CA9CE1" w14:textId="77777777" w:rsidR="006B1C5D" w:rsidRDefault="006B1C5D" w:rsidP="006B1C5D">
      <w:pPr>
        <w:pStyle w:val="Default"/>
        <w:numPr>
          <w:ilvl w:val="0"/>
          <w:numId w:val="31"/>
        </w:numPr>
        <w:jc w:val="both"/>
      </w:pPr>
      <w:r w:rsidRPr="00E8652E">
        <w:t>General competition in the marketplace</w:t>
      </w:r>
      <w:r>
        <w:t>; and</w:t>
      </w:r>
    </w:p>
    <w:p w14:paraId="14F13693" w14:textId="77777777" w:rsidR="006B1C5D" w:rsidRDefault="006B1C5D" w:rsidP="006B1C5D">
      <w:pPr>
        <w:pStyle w:val="Default"/>
        <w:numPr>
          <w:ilvl w:val="0"/>
          <w:numId w:val="31"/>
        </w:numPr>
        <w:jc w:val="both"/>
      </w:pPr>
      <w:r>
        <w:t xml:space="preserve">The Franchisees’ ability to: (i) effectively manage and operate a restaurant; (ii) control labour costs; (iii) ability to staff the restaurant.  </w:t>
      </w:r>
    </w:p>
    <w:p w14:paraId="04C7647F" w14:textId="77777777" w:rsidR="006B1C5D" w:rsidRPr="00E8652E" w:rsidRDefault="006B1C5D" w:rsidP="006B1C5D">
      <w:pPr>
        <w:pStyle w:val="Default"/>
        <w:jc w:val="both"/>
      </w:pPr>
    </w:p>
    <w:p w14:paraId="70670D5D" w14:textId="77777777" w:rsidR="006B1C5D" w:rsidRPr="00425BED" w:rsidRDefault="006B1C5D" w:rsidP="006B1C5D">
      <w:pPr>
        <w:pStyle w:val="Default"/>
        <w:numPr>
          <w:ilvl w:val="0"/>
          <w:numId w:val="32"/>
        </w:numPr>
        <w:jc w:val="both"/>
      </w:pPr>
      <w:r w:rsidRPr="00E8652E">
        <w:rPr>
          <w:b/>
          <w:bCs/>
        </w:rPr>
        <w:t>Hypotheses</w:t>
      </w:r>
      <w:r>
        <w:rPr>
          <w:b/>
          <w:bCs/>
        </w:rPr>
        <w:t>/Assumptions</w:t>
      </w:r>
    </w:p>
    <w:p w14:paraId="3C788F96" w14:textId="77777777" w:rsidR="006B1C5D" w:rsidRDefault="006B1C5D" w:rsidP="006B1C5D">
      <w:pPr>
        <w:spacing w:before="100" w:beforeAutospacing="1" w:after="100" w:afterAutospacing="1"/>
        <w:rPr>
          <w:lang w:eastAsia="en-CA"/>
        </w:rPr>
      </w:pPr>
      <w:r>
        <w:rPr>
          <w:lang w:eastAsia="en-CA"/>
        </w:rPr>
        <w:t>The Earnings Projections assume the following:</w:t>
      </w:r>
    </w:p>
    <w:p w14:paraId="78294F6C" w14:textId="77777777" w:rsidR="006B1C5D" w:rsidRDefault="006B1C5D" w:rsidP="006B1C5D">
      <w:pPr>
        <w:numPr>
          <w:ilvl w:val="0"/>
          <w:numId w:val="34"/>
        </w:numPr>
        <w:spacing w:before="100" w:beforeAutospacing="1" w:after="100" w:afterAutospacing="1"/>
        <w:rPr>
          <w:lang w:eastAsia="en-CA"/>
        </w:rPr>
      </w:pPr>
      <w:r>
        <w:rPr>
          <w:lang w:eastAsia="en-CA"/>
        </w:rPr>
        <w:t>Total investment required is $700,000.00 comprising $500,000.00 in bank financing (“</w:t>
      </w:r>
      <w:r w:rsidRPr="00010A98">
        <w:rPr>
          <w:b/>
          <w:bCs/>
          <w:lang w:eastAsia="en-CA"/>
        </w:rPr>
        <w:t>Bank Financing</w:t>
      </w:r>
      <w:r>
        <w:rPr>
          <w:lang w:eastAsia="en-CA"/>
        </w:rPr>
        <w:t xml:space="preserve">”) repayable over a 5-year period; and $200,000.00 for other miscellaneous expenses including the franchise fee, opening inventory, training costs, opening marketing and advertising, etc.  </w:t>
      </w:r>
    </w:p>
    <w:p w14:paraId="63D8CB95" w14:textId="77777777" w:rsidR="006B1C5D" w:rsidRDefault="006B1C5D" w:rsidP="006B1C5D">
      <w:pPr>
        <w:numPr>
          <w:ilvl w:val="0"/>
          <w:numId w:val="34"/>
        </w:numPr>
        <w:spacing w:before="100" w:beforeAutospacing="1" w:after="100" w:afterAutospacing="1"/>
        <w:rPr>
          <w:lang w:eastAsia="en-CA"/>
        </w:rPr>
      </w:pPr>
      <w:r>
        <w:rPr>
          <w:lang w:eastAsia="en-CA"/>
        </w:rPr>
        <w:t>A</w:t>
      </w:r>
      <w:r w:rsidRPr="00010A98">
        <w:rPr>
          <w:lang w:eastAsia="en-CA"/>
        </w:rPr>
        <w:t>n average restaurant Size of 2,500 sq. ft. with seating for ~ 60 customers; 360 days of operation/year; an average of 300 customers/day; an average check size: of $12.00 (food + beverage); annual growth of 5% (due to brand recognition, marketing, and inflation)</w:t>
      </w:r>
    </w:p>
    <w:p w14:paraId="0F06FBF5" w14:textId="77777777" w:rsidR="006B1C5D" w:rsidRDefault="006B1C5D" w:rsidP="006B1C5D">
      <w:pPr>
        <w:numPr>
          <w:ilvl w:val="0"/>
          <w:numId w:val="34"/>
        </w:numPr>
        <w:spacing w:before="100" w:beforeAutospacing="1" w:after="100" w:afterAutospacing="1"/>
        <w:rPr>
          <w:lang w:eastAsia="en-CA"/>
        </w:rPr>
      </w:pPr>
      <w:r>
        <w:rPr>
          <w:lang w:eastAsia="en-CA"/>
        </w:rPr>
        <w:t>Gross Revenues are n</w:t>
      </w:r>
      <w:r w:rsidRPr="00010A98">
        <w:rPr>
          <w:lang w:eastAsia="en-CA"/>
        </w:rPr>
        <w:t xml:space="preserve">et of any third-party delivery costs </w:t>
      </w:r>
      <w:r>
        <w:rPr>
          <w:lang w:eastAsia="en-CA"/>
        </w:rPr>
        <w:t>(</w:t>
      </w:r>
      <w:r w:rsidRPr="00010A98">
        <w:rPr>
          <w:lang w:eastAsia="en-CA"/>
        </w:rPr>
        <w:t>which have been excluded for the purposes of this analysis</w:t>
      </w:r>
      <w:r>
        <w:rPr>
          <w:lang w:eastAsia="en-CA"/>
        </w:rPr>
        <w:t>)</w:t>
      </w:r>
      <w:r w:rsidRPr="00010A98">
        <w:rPr>
          <w:lang w:eastAsia="en-CA"/>
        </w:rPr>
        <w:t xml:space="preserve">. </w:t>
      </w:r>
    </w:p>
    <w:p w14:paraId="19FC9DE7" w14:textId="77777777" w:rsidR="006B1C5D" w:rsidRDefault="006B1C5D" w:rsidP="006B1C5D">
      <w:pPr>
        <w:numPr>
          <w:ilvl w:val="0"/>
          <w:numId w:val="34"/>
        </w:numPr>
        <w:spacing w:before="100" w:beforeAutospacing="1" w:after="100" w:afterAutospacing="1"/>
        <w:rPr>
          <w:lang w:eastAsia="en-CA"/>
        </w:rPr>
      </w:pPr>
      <w:r w:rsidRPr="00010A98">
        <w:rPr>
          <w:lang w:eastAsia="en-CA"/>
        </w:rPr>
        <w:t xml:space="preserve">Assumes 70% dine in, 30% take-out and/or third-party delivery. </w:t>
      </w:r>
    </w:p>
    <w:p w14:paraId="0B426DBB" w14:textId="77777777" w:rsidR="006B1C5D" w:rsidRDefault="006B1C5D" w:rsidP="006B1C5D">
      <w:pPr>
        <w:numPr>
          <w:ilvl w:val="0"/>
          <w:numId w:val="34"/>
        </w:numPr>
        <w:spacing w:before="100" w:beforeAutospacing="1" w:after="100" w:afterAutospacing="1"/>
        <w:rPr>
          <w:lang w:eastAsia="en-CA"/>
        </w:rPr>
      </w:pPr>
      <w:r w:rsidRPr="00010A98">
        <w:rPr>
          <w:lang w:eastAsia="en-CA"/>
        </w:rPr>
        <w:t xml:space="preserve">Gross rental rate for both minimum rent and additional rent of $48.00 per square foot. </w:t>
      </w:r>
    </w:p>
    <w:p w14:paraId="0E784500" w14:textId="77777777" w:rsidR="006B1C5D" w:rsidRDefault="006B1C5D" w:rsidP="006B1C5D">
      <w:pPr>
        <w:numPr>
          <w:ilvl w:val="0"/>
          <w:numId w:val="34"/>
        </w:numPr>
        <w:spacing w:before="100" w:beforeAutospacing="1" w:after="100" w:afterAutospacing="1"/>
        <w:rPr>
          <w:lang w:eastAsia="en-CA"/>
        </w:rPr>
      </w:pPr>
      <w:r>
        <w:rPr>
          <w:lang w:eastAsia="en-CA"/>
        </w:rPr>
        <w:t>Other Operating expenses cover</w:t>
      </w:r>
      <w:r w:rsidRPr="00010A98">
        <w:rPr>
          <w:lang w:eastAsia="en-CA"/>
        </w:rPr>
        <w:t xml:space="preserve"> all miscellaneous expenses including legal/accounting fees; fees for high-speed internet access, health/benefit plans; telephones; meals &amp; entertainment; external software.  </w:t>
      </w:r>
    </w:p>
    <w:p w14:paraId="36FBCEF7" w14:textId="77777777" w:rsidR="006B1C5D" w:rsidRDefault="006B1C5D" w:rsidP="006B1C5D">
      <w:pPr>
        <w:numPr>
          <w:ilvl w:val="0"/>
          <w:numId w:val="34"/>
        </w:numPr>
        <w:spacing w:before="100" w:beforeAutospacing="1" w:after="100" w:afterAutospacing="1"/>
        <w:rPr>
          <w:lang w:eastAsia="en-CA"/>
        </w:rPr>
      </w:pPr>
      <w:r>
        <w:rPr>
          <w:lang w:eastAsia="en-CA"/>
        </w:rPr>
        <w:t>Bank Financing is at</w:t>
      </w:r>
      <w:r w:rsidRPr="00010A98">
        <w:rPr>
          <w:lang w:eastAsia="en-CA"/>
        </w:rPr>
        <w:t xml:space="preserve"> an interest rate of six percent (6%) per annum.  </w:t>
      </w:r>
    </w:p>
    <w:p w14:paraId="753FBBE2" w14:textId="77777777" w:rsidR="006B1C5D" w:rsidRDefault="006B1C5D" w:rsidP="006B1C5D">
      <w:pPr>
        <w:numPr>
          <w:ilvl w:val="0"/>
          <w:numId w:val="34"/>
        </w:numPr>
        <w:spacing w:before="100" w:beforeAutospacing="1" w:after="100" w:afterAutospacing="1"/>
        <w:rPr>
          <w:lang w:eastAsia="en-CA"/>
        </w:rPr>
      </w:pPr>
      <w:r>
        <w:rPr>
          <w:lang w:eastAsia="en-CA"/>
        </w:rPr>
        <w:t>S</w:t>
      </w:r>
      <w:r w:rsidRPr="00010A98">
        <w:rPr>
          <w:lang w:eastAsia="en-CA"/>
        </w:rPr>
        <w:t>traight-line depreciation</w:t>
      </w:r>
      <w:r>
        <w:rPr>
          <w:lang w:eastAsia="en-CA"/>
        </w:rPr>
        <w:t xml:space="preserve"> for capital expenses (t</w:t>
      </w:r>
      <w:r w:rsidRPr="00010A98">
        <w:rPr>
          <w:lang w:eastAsia="en-CA"/>
        </w:rPr>
        <w:t>otal $500,000</w:t>
      </w:r>
      <w:r>
        <w:rPr>
          <w:lang w:eastAsia="en-CA"/>
        </w:rPr>
        <w:t>.00) is</w:t>
      </w:r>
      <w:r w:rsidRPr="00010A98">
        <w:rPr>
          <w:lang w:eastAsia="en-CA"/>
        </w:rPr>
        <w:t xml:space="preserve"> over a 10-year period which allows Franchisee to deduct depreciation allowance of $50,000.00/year.  This amount is deducted </w:t>
      </w:r>
      <w:proofErr w:type="gramStart"/>
      <w:r w:rsidRPr="00010A98">
        <w:rPr>
          <w:lang w:eastAsia="en-CA"/>
        </w:rPr>
        <w:t>in order to</w:t>
      </w:r>
      <w:proofErr w:type="gramEnd"/>
      <w:r w:rsidRPr="00010A98">
        <w:rPr>
          <w:lang w:eastAsia="en-CA"/>
        </w:rPr>
        <w:t xml:space="preserve"> determine the amount of taxes due and owing; and is added back in to determine cash flow. </w:t>
      </w:r>
    </w:p>
    <w:p w14:paraId="2917CB5C" w14:textId="77777777" w:rsidR="006B1C5D" w:rsidRDefault="006B1C5D" w:rsidP="006B1C5D">
      <w:pPr>
        <w:numPr>
          <w:ilvl w:val="0"/>
          <w:numId w:val="34"/>
        </w:numPr>
        <w:spacing w:before="100" w:beforeAutospacing="1" w:after="100" w:afterAutospacing="1"/>
        <w:rPr>
          <w:lang w:eastAsia="en-CA"/>
        </w:rPr>
      </w:pPr>
      <w:r>
        <w:rPr>
          <w:lang w:eastAsia="en-CA"/>
        </w:rPr>
        <w:t xml:space="preserve">Twenty percent (20%) combined federal and provincial tax rate.  </w:t>
      </w:r>
    </w:p>
    <w:p w14:paraId="10E13E73" w14:textId="77777777" w:rsidR="006B1C5D" w:rsidRPr="00010A98" w:rsidRDefault="006B1C5D" w:rsidP="006B1C5D">
      <w:pPr>
        <w:jc w:val="center"/>
        <w:rPr>
          <w:lang w:eastAsia="en-CA"/>
        </w:rPr>
      </w:pPr>
      <w:r>
        <w:rPr>
          <w:b/>
          <w:bCs/>
          <w:sz w:val="36"/>
          <w:szCs w:val="36"/>
          <w:lang w:eastAsia="en-CA"/>
        </w:rPr>
        <w:br w:type="page"/>
      </w:r>
      <w:r w:rsidRPr="00010A98">
        <w:rPr>
          <w:b/>
          <w:bCs/>
          <w:sz w:val="36"/>
          <w:szCs w:val="36"/>
          <w:lang w:eastAsia="en-CA"/>
        </w:rPr>
        <w:lastRenderedPageBreak/>
        <w:t>Earnings Projection for the</w:t>
      </w:r>
    </w:p>
    <w:p w14:paraId="2C2573D5" w14:textId="77777777" w:rsidR="006B1C5D" w:rsidRDefault="006B1C5D" w:rsidP="006B1C5D">
      <w:pPr>
        <w:jc w:val="center"/>
        <w:outlineLvl w:val="1"/>
        <w:rPr>
          <w:b/>
          <w:bCs/>
          <w:sz w:val="36"/>
          <w:szCs w:val="36"/>
          <w:lang w:eastAsia="en-CA"/>
        </w:rPr>
      </w:pPr>
      <w:r>
        <w:rPr>
          <w:b/>
          <w:bCs/>
          <w:sz w:val="36"/>
          <w:szCs w:val="36"/>
          <w:lang w:eastAsia="en-CA"/>
        </w:rPr>
        <w:t>CAMOKO Restaurant Franchise System</w:t>
      </w:r>
    </w:p>
    <w:p w14:paraId="33D972BE" w14:textId="77777777" w:rsidR="006B1C5D" w:rsidRPr="00B54A3D" w:rsidRDefault="006B1C5D" w:rsidP="006B1C5D">
      <w:pPr>
        <w:jc w:val="center"/>
        <w:outlineLvl w:val="1"/>
        <w:rPr>
          <w:b/>
          <w:bCs/>
          <w:sz w:val="36"/>
          <w:szCs w:val="36"/>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5"/>
        <w:gridCol w:w="960"/>
        <w:gridCol w:w="1885"/>
        <w:gridCol w:w="2936"/>
      </w:tblGrid>
      <w:tr w:rsidR="006B1C5D" w:rsidRPr="006B1C5D" w14:paraId="7EFB08A8" w14:textId="77777777" w:rsidTr="006F1B7A">
        <w:trPr>
          <w:tblHeader/>
          <w:tblCellSpacing w:w="15" w:type="dxa"/>
        </w:trPr>
        <w:tc>
          <w:tcPr>
            <w:tcW w:w="2700" w:type="dxa"/>
            <w:vAlign w:val="center"/>
            <w:hideMark/>
          </w:tcPr>
          <w:p w14:paraId="3813BDFD" w14:textId="77777777" w:rsidR="006B1C5D" w:rsidRPr="006B1C5D" w:rsidRDefault="006B1C5D" w:rsidP="006F1B7A">
            <w:pPr>
              <w:jc w:val="center"/>
              <w:rPr>
                <w:b/>
                <w:bCs/>
                <w:sz w:val="20"/>
                <w:szCs w:val="20"/>
                <w:lang w:eastAsia="en-CA"/>
              </w:rPr>
            </w:pPr>
          </w:p>
        </w:tc>
        <w:tc>
          <w:tcPr>
            <w:tcW w:w="874" w:type="dxa"/>
            <w:vAlign w:val="center"/>
            <w:hideMark/>
          </w:tcPr>
          <w:p w14:paraId="686C5A04" w14:textId="77777777" w:rsidR="006B1C5D" w:rsidRPr="006B1C5D" w:rsidRDefault="006B1C5D" w:rsidP="006F1B7A">
            <w:pPr>
              <w:jc w:val="center"/>
              <w:rPr>
                <w:b/>
                <w:bCs/>
                <w:sz w:val="20"/>
                <w:szCs w:val="20"/>
                <w:u w:val="single"/>
                <w:lang w:eastAsia="en-CA"/>
              </w:rPr>
            </w:pPr>
            <w:r w:rsidRPr="006B1C5D">
              <w:rPr>
                <w:b/>
                <w:bCs/>
                <w:sz w:val="20"/>
                <w:szCs w:val="20"/>
                <w:u w:val="single"/>
                <w:lang w:eastAsia="en-CA"/>
              </w:rPr>
              <w:t>Year 1</w:t>
            </w:r>
          </w:p>
        </w:tc>
        <w:tc>
          <w:tcPr>
            <w:tcW w:w="0" w:type="auto"/>
            <w:vAlign w:val="center"/>
            <w:hideMark/>
          </w:tcPr>
          <w:p w14:paraId="1FC633C1" w14:textId="77777777" w:rsidR="006B1C5D" w:rsidRPr="006B1C5D" w:rsidRDefault="006B1C5D" w:rsidP="006F1B7A">
            <w:pPr>
              <w:ind w:left="925"/>
              <w:jc w:val="center"/>
              <w:rPr>
                <w:b/>
                <w:bCs/>
                <w:sz w:val="20"/>
                <w:szCs w:val="20"/>
                <w:u w:val="single"/>
                <w:lang w:eastAsia="en-CA"/>
              </w:rPr>
            </w:pPr>
            <w:r w:rsidRPr="006B1C5D">
              <w:rPr>
                <w:b/>
                <w:bCs/>
                <w:sz w:val="20"/>
                <w:szCs w:val="20"/>
                <w:u w:val="single"/>
                <w:lang w:eastAsia="en-CA"/>
              </w:rPr>
              <w:t>Year 2</w:t>
            </w:r>
          </w:p>
        </w:tc>
        <w:tc>
          <w:tcPr>
            <w:tcW w:w="2891" w:type="dxa"/>
            <w:vAlign w:val="center"/>
            <w:hideMark/>
          </w:tcPr>
          <w:p w14:paraId="11BC46F6" w14:textId="77777777" w:rsidR="006B1C5D" w:rsidRPr="006B1C5D" w:rsidRDefault="006B1C5D" w:rsidP="006F1B7A">
            <w:pPr>
              <w:ind w:left="1440"/>
              <w:rPr>
                <w:b/>
                <w:bCs/>
                <w:sz w:val="20"/>
                <w:szCs w:val="20"/>
                <w:u w:val="single"/>
                <w:lang w:eastAsia="en-CA"/>
              </w:rPr>
            </w:pPr>
            <w:r w:rsidRPr="006B1C5D">
              <w:rPr>
                <w:b/>
                <w:bCs/>
                <w:sz w:val="20"/>
                <w:szCs w:val="20"/>
                <w:u w:val="single"/>
                <w:lang w:eastAsia="en-CA"/>
              </w:rPr>
              <w:t>Year 3</w:t>
            </w:r>
          </w:p>
        </w:tc>
      </w:tr>
      <w:tr w:rsidR="006B1C5D" w:rsidRPr="006B1C5D" w14:paraId="4B9779CF" w14:textId="77777777" w:rsidTr="006F1B7A">
        <w:trPr>
          <w:tblCellSpacing w:w="15" w:type="dxa"/>
        </w:trPr>
        <w:tc>
          <w:tcPr>
            <w:tcW w:w="2700" w:type="dxa"/>
            <w:vAlign w:val="center"/>
            <w:hideMark/>
          </w:tcPr>
          <w:p w14:paraId="7F880532" w14:textId="77777777" w:rsidR="006B1C5D" w:rsidRPr="006B1C5D" w:rsidRDefault="006B1C5D" w:rsidP="006F1B7A">
            <w:pPr>
              <w:rPr>
                <w:sz w:val="20"/>
                <w:szCs w:val="20"/>
                <w:lang w:eastAsia="en-CA"/>
              </w:rPr>
            </w:pPr>
            <w:r w:rsidRPr="006B1C5D">
              <w:rPr>
                <w:b/>
                <w:bCs/>
                <w:sz w:val="20"/>
                <w:szCs w:val="20"/>
                <w:lang w:eastAsia="en-CA"/>
              </w:rPr>
              <w:t>Gross Revenues</w:t>
            </w:r>
          </w:p>
        </w:tc>
        <w:tc>
          <w:tcPr>
            <w:tcW w:w="874" w:type="dxa"/>
            <w:vAlign w:val="center"/>
            <w:hideMark/>
          </w:tcPr>
          <w:p w14:paraId="203C4C39" w14:textId="77777777" w:rsidR="006B1C5D" w:rsidRPr="006B1C5D" w:rsidRDefault="006B1C5D" w:rsidP="006F1B7A">
            <w:pPr>
              <w:rPr>
                <w:sz w:val="20"/>
                <w:szCs w:val="20"/>
                <w:lang w:eastAsia="en-CA"/>
              </w:rPr>
            </w:pPr>
            <w:r w:rsidRPr="006B1C5D">
              <w:rPr>
                <w:sz w:val="20"/>
                <w:szCs w:val="20"/>
                <w:lang w:eastAsia="en-CA"/>
              </w:rPr>
              <w:t>$1,296,000</w:t>
            </w:r>
          </w:p>
        </w:tc>
        <w:tc>
          <w:tcPr>
            <w:tcW w:w="0" w:type="auto"/>
            <w:vAlign w:val="center"/>
            <w:hideMark/>
          </w:tcPr>
          <w:p w14:paraId="4444E054" w14:textId="77777777" w:rsidR="006B1C5D" w:rsidRPr="006B1C5D" w:rsidRDefault="006B1C5D" w:rsidP="006F1B7A">
            <w:pPr>
              <w:ind w:left="925"/>
              <w:rPr>
                <w:sz w:val="20"/>
                <w:szCs w:val="20"/>
                <w:lang w:eastAsia="en-CA"/>
              </w:rPr>
            </w:pPr>
            <w:r w:rsidRPr="006B1C5D">
              <w:rPr>
                <w:sz w:val="20"/>
                <w:szCs w:val="20"/>
                <w:lang w:eastAsia="en-CA"/>
              </w:rPr>
              <w:t>$1,360,800</w:t>
            </w:r>
          </w:p>
        </w:tc>
        <w:tc>
          <w:tcPr>
            <w:tcW w:w="2891" w:type="dxa"/>
            <w:vAlign w:val="center"/>
            <w:hideMark/>
          </w:tcPr>
          <w:p w14:paraId="215EC425" w14:textId="77777777" w:rsidR="006B1C5D" w:rsidRPr="006B1C5D" w:rsidRDefault="006B1C5D" w:rsidP="006F1B7A">
            <w:pPr>
              <w:ind w:left="1202"/>
              <w:rPr>
                <w:sz w:val="20"/>
                <w:szCs w:val="20"/>
                <w:lang w:eastAsia="en-CA"/>
              </w:rPr>
            </w:pPr>
            <w:r w:rsidRPr="006B1C5D">
              <w:rPr>
                <w:sz w:val="20"/>
                <w:szCs w:val="20"/>
                <w:lang w:eastAsia="en-CA"/>
              </w:rPr>
              <w:t>$1,428,840</w:t>
            </w:r>
          </w:p>
        </w:tc>
      </w:tr>
      <w:tr w:rsidR="006B1C5D" w:rsidRPr="006B1C5D" w14:paraId="5C6FF7F4" w14:textId="77777777" w:rsidTr="006F1B7A">
        <w:trPr>
          <w:tblCellSpacing w:w="15" w:type="dxa"/>
        </w:trPr>
        <w:tc>
          <w:tcPr>
            <w:tcW w:w="2700" w:type="dxa"/>
            <w:vAlign w:val="center"/>
            <w:hideMark/>
          </w:tcPr>
          <w:p w14:paraId="0D28E726" w14:textId="77777777" w:rsidR="006B1C5D" w:rsidRPr="006B1C5D" w:rsidRDefault="006B1C5D" w:rsidP="006F1B7A">
            <w:pPr>
              <w:rPr>
                <w:sz w:val="20"/>
                <w:szCs w:val="20"/>
                <w:lang w:eastAsia="en-CA"/>
              </w:rPr>
            </w:pPr>
            <w:r w:rsidRPr="006B1C5D">
              <w:rPr>
                <w:sz w:val="20"/>
                <w:szCs w:val="20"/>
                <w:lang w:eastAsia="en-CA"/>
              </w:rPr>
              <w:t>COGS (35%)</w:t>
            </w:r>
          </w:p>
        </w:tc>
        <w:tc>
          <w:tcPr>
            <w:tcW w:w="874" w:type="dxa"/>
            <w:vAlign w:val="center"/>
            <w:hideMark/>
          </w:tcPr>
          <w:p w14:paraId="75385453" w14:textId="77777777" w:rsidR="006B1C5D" w:rsidRPr="006B1C5D" w:rsidRDefault="006B1C5D" w:rsidP="006F1B7A">
            <w:pPr>
              <w:rPr>
                <w:sz w:val="20"/>
                <w:szCs w:val="20"/>
                <w:u w:val="single"/>
                <w:lang w:eastAsia="en-CA"/>
              </w:rPr>
            </w:pPr>
            <w:r w:rsidRPr="006B1C5D">
              <w:rPr>
                <w:sz w:val="20"/>
                <w:szCs w:val="20"/>
                <w:u w:val="single"/>
                <w:lang w:eastAsia="en-CA"/>
              </w:rPr>
              <w:t>$   453,600</w:t>
            </w:r>
          </w:p>
        </w:tc>
        <w:tc>
          <w:tcPr>
            <w:tcW w:w="0" w:type="auto"/>
            <w:vAlign w:val="center"/>
            <w:hideMark/>
          </w:tcPr>
          <w:p w14:paraId="0D07E4D9" w14:textId="77777777" w:rsidR="006B1C5D" w:rsidRPr="006B1C5D" w:rsidRDefault="006B1C5D" w:rsidP="006F1B7A">
            <w:pPr>
              <w:ind w:left="925"/>
              <w:rPr>
                <w:sz w:val="20"/>
                <w:szCs w:val="20"/>
                <w:u w:val="single"/>
                <w:lang w:eastAsia="en-CA"/>
              </w:rPr>
            </w:pPr>
            <w:r w:rsidRPr="006B1C5D">
              <w:rPr>
                <w:sz w:val="20"/>
                <w:szCs w:val="20"/>
                <w:u w:val="single"/>
                <w:lang w:eastAsia="en-CA"/>
              </w:rPr>
              <w:t>$   476,280</w:t>
            </w:r>
          </w:p>
        </w:tc>
        <w:tc>
          <w:tcPr>
            <w:tcW w:w="2891" w:type="dxa"/>
            <w:vAlign w:val="center"/>
            <w:hideMark/>
          </w:tcPr>
          <w:p w14:paraId="02E31381" w14:textId="77777777" w:rsidR="006B1C5D" w:rsidRPr="006B1C5D" w:rsidRDefault="006B1C5D" w:rsidP="006F1B7A">
            <w:pPr>
              <w:ind w:left="1202"/>
              <w:rPr>
                <w:sz w:val="20"/>
                <w:szCs w:val="20"/>
                <w:u w:val="single"/>
                <w:lang w:eastAsia="en-CA"/>
              </w:rPr>
            </w:pPr>
            <w:r w:rsidRPr="006B1C5D">
              <w:rPr>
                <w:sz w:val="20"/>
                <w:szCs w:val="20"/>
                <w:u w:val="single"/>
                <w:lang w:eastAsia="en-CA"/>
              </w:rPr>
              <w:t>$   500,094</w:t>
            </w:r>
          </w:p>
        </w:tc>
      </w:tr>
      <w:tr w:rsidR="006B1C5D" w:rsidRPr="006B1C5D" w14:paraId="6356A91C" w14:textId="77777777" w:rsidTr="006F1B7A">
        <w:trPr>
          <w:tblCellSpacing w:w="15" w:type="dxa"/>
        </w:trPr>
        <w:tc>
          <w:tcPr>
            <w:tcW w:w="2700" w:type="dxa"/>
            <w:vAlign w:val="center"/>
            <w:hideMark/>
          </w:tcPr>
          <w:p w14:paraId="4E883F68" w14:textId="77777777" w:rsidR="006B1C5D" w:rsidRPr="006B1C5D" w:rsidRDefault="006B1C5D" w:rsidP="006F1B7A">
            <w:pPr>
              <w:rPr>
                <w:sz w:val="20"/>
                <w:szCs w:val="20"/>
                <w:lang w:eastAsia="en-CA"/>
              </w:rPr>
            </w:pPr>
            <w:r w:rsidRPr="006B1C5D">
              <w:rPr>
                <w:b/>
                <w:bCs/>
                <w:sz w:val="20"/>
                <w:szCs w:val="20"/>
                <w:lang w:eastAsia="en-CA"/>
              </w:rPr>
              <w:t>Gross Profit</w:t>
            </w:r>
          </w:p>
        </w:tc>
        <w:tc>
          <w:tcPr>
            <w:tcW w:w="874" w:type="dxa"/>
            <w:vAlign w:val="center"/>
            <w:hideMark/>
          </w:tcPr>
          <w:p w14:paraId="5BF55B9C" w14:textId="77777777" w:rsidR="006B1C5D" w:rsidRPr="006B1C5D" w:rsidRDefault="006B1C5D" w:rsidP="006F1B7A">
            <w:pPr>
              <w:rPr>
                <w:b/>
                <w:bCs/>
                <w:sz w:val="20"/>
                <w:szCs w:val="20"/>
                <w:lang w:eastAsia="en-CA"/>
              </w:rPr>
            </w:pPr>
            <w:r w:rsidRPr="006B1C5D">
              <w:rPr>
                <w:b/>
                <w:bCs/>
                <w:sz w:val="20"/>
                <w:szCs w:val="20"/>
                <w:lang w:eastAsia="en-CA"/>
              </w:rPr>
              <w:t>$   842,400</w:t>
            </w:r>
          </w:p>
        </w:tc>
        <w:tc>
          <w:tcPr>
            <w:tcW w:w="0" w:type="auto"/>
            <w:vAlign w:val="center"/>
            <w:hideMark/>
          </w:tcPr>
          <w:p w14:paraId="6EC85FE9" w14:textId="77777777" w:rsidR="006B1C5D" w:rsidRPr="006B1C5D" w:rsidRDefault="006B1C5D" w:rsidP="006F1B7A">
            <w:pPr>
              <w:ind w:left="925"/>
              <w:rPr>
                <w:b/>
                <w:bCs/>
                <w:sz w:val="20"/>
                <w:szCs w:val="20"/>
                <w:lang w:eastAsia="en-CA"/>
              </w:rPr>
            </w:pPr>
            <w:r w:rsidRPr="006B1C5D">
              <w:rPr>
                <w:b/>
                <w:bCs/>
                <w:sz w:val="20"/>
                <w:szCs w:val="20"/>
                <w:lang w:eastAsia="en-CA"/>
              </w:rPr>
              <w:t>$   884,520</w:t>
            </w:r>
          </w:p>
        </w:tc>
        <w:tc>
          <w:tcPr>
            <w:tcW w:w="2891" w:type="dxa"/>
            <w:vAlign w:val="center"/>
            <w:hideMark/>
          </w:tcPr>
          <w:p w14:paraId="18147199" w14:textId="77777777" w:rsidR="006B1C5D" w:rsidRPr="006B1C5D" w:rsidRDefault="006B1C5D" w:rsidP="006F1B7A">
            <w:pPr>
              <w:ind w:left="1202"/>
              <w:rPr>
                <w:b/>
                <w:bCs/>
                <w:sz w:val="20"/>
                <w:szCs w:val="20"/>
                <w:lang w:eastAsia="en-CA"/>
              </w:rPr>
            </w:pPr>
            <w:r w:rsidRPr="006B1C5D">
              <w:rPr>
                <w:b/>
                <w:bCs/>
                <w:sz w:val="20"/>
                <w:szCs w:val="20"/>
                <w:lang w:eastAsia="en-CA"/>
              </w:rPr>
              <w:t>$   928,746</w:t>
            </w:r>
          </w:p>
        </w:tc>
      </w:tr>
      <w:tr w:rsidR="006B1C5D" w:rsidRPr="006B1C5D" w14:paraId="6F42DD10" w14:textId="77777777" w:rsidTr="006F1B7A">
        <w:trPr>
          <w:tblCellSpacing w:w="15" w:type="dxa"/>
        </w:trPr>
        <w:tc>
          <w:tcPr>
            <w:tcW w:w="2700" w:type="dxa"/>
            <w:vAlign w:val="center"/>
            <w:hideMark/>
          </w:tcPr>
          <w:p w14:paraId="0EA28FA9" w14:textId="77777777" w:rsidR="006B1C5D" w:rsidRPr="006B1C5D" w:rsidRDefault="006B1C5D" w:rsidP="006F1B7A">
            <w:pPr>
              <w:rPr>
                <w:sz w:val="20"/>
                <w:szCs w:val="20"/>
                <w:lang w:eastAsia="en-CA"/>
              </w:rPr>
            </w:pPr>
            <w:r w:rsidRPr="006B1C5D">
              <w:rPr>
                <w:sz w:val="20"/>
                <w:szCs w:val="20"/>
                <w:lang w:eastAsia="en-CA"/>
              </w:rPr>
              <w:t>Labour (25%)</w:t>
            </w:r>
          </w:p>
        </w:tc>
        <w:tc>
          <w:tcPr>
            <w:tcW w:w="874" w:type="dxa"/>
            <w:vAlign w:val="center"/>
            <w:hideMark/>
          </w:tcPr>
          <w:p w14:paraId="0D6DFCDF" w14:textId="77777777" w:rsidR="006B1C5D" w:rsidRPr="006B1C5D" w:rsidRDefault="006B1C5D" w:rsidP="006F1B7A">
            <w:pPr>
              <w:rPr>
                <w:sz w:val="20"/>
                <w:szCs w:val="20"/>
                <w:lang w:eastAsia="en-CA"/>
              </w:rPr>
            </w:pPr>
            <w:r w:rsidRPr="006B1C5D">
              <w:rPr>
                <w:sz w:val="20"/>
                <w:szCs w:val="20"/>
                <w:lang w:eastAsia="en-CA"/>
              </w:rPr>
              <w:t>$   324,000</w:t>
            </w:r>
          </w:p>
        </w:tc>
        <w:tc>
          <w:tcPr>
            <w:tcW w:w="0" w:type="auto"/>
            <w:vAlign w:val="center"/>
            <w:hideMark/>
          </w:tcPr>
          <w:p w14:paraId="4F8AAC83" w14:textId="77777777" w:rsidR="006B1C5D" w:rsidRPr="006B1C5D" w:rsidRDefault="006B1C5D" w:rsidP="006F1B7A">
            <w:pPr>
              <w:ind w:left="925"/>
              <w:rPr>
                <w:sz w:val="20"/>
                <w:szCs w:val="20"/>
                <w:lang w:eastAsia="en-CA"/>
              </w:rPr>
            </w:pPr>
            <w:r w:rsidRPr="006B1C5D">
              <w:rPr>
                <w:sz w:val="20"/>
                <w:szCs w:val="20"/>
                <w:lang w:eastAsia="en-CA"/>
              </w:rPr>
              <w:t>$   340,200</w:t>
            </w:r>
          </w:p>
        </w:tc>
        <w:tc>
          <w:tcPr>
            <w:tcW w:w="2891" w:type="dxa"/>
            <w:vAlign w:val="center"/>
            <w:hideMark/>
          </w:tcPr>
          <w:p w14:paraId="1608EB98" w14:textId="77777777" w:rsidR="006B1C5D" w:rsidRPr="006B1C5D" w:rsidRDefault="006B1C5D" w:rsidP="006F1B7A">
            <w:pPr>
              <w:ind w:left="1202"/>
              <w:rPr>
                <w:sz w:val="20"/>
                <w:szCs w:val="20"/>
                <w:lang w:eastAsia="en-CA"/>
              </w:rPr>
            </w:pPr>
            <w:r w:rsidRPr="006B1C5D">
              <w:rPr>
                <w:sz w:val="20"/>
                <w:szCs w:val="20"/>
                <w:lang w:eastAsia="en-CA"/>
              </w:rPr>
              <w:t>$   357,210</w:t>
            </w:r>
          </w:p>
        </w:tc>
      </w:tr>
      <w:tr w:rsidR="006B1C5D" w:rsidRPr="006B1C5D" w14:paraId="4AA6B3AD" w14:textId="77777777" w:rsidTr="006F1B7A">
        <w:trPr>
          <w:tblCellSpacing w:w="15" w:type="dxa"/>
        </w:trPr>
        <w:tc>
          <w:tcPr>
            <w:tcW w:w="2700" w:type="dxa"/>
            <w:vAlign w:val="center"/>
            <w:hideMark/>
          </w:tcPr>
          <w:p w14:paraId="7327AD83" w14:textId="77777777" w:rsidR="006B1C5D" w:rsidRPr="006B1C5D" w:rsidRDefault="006B1C5D" w:rsidP="006F1B7A">
            <w:pPr>
              <w:rPr>
                <w:sz w:val="20"/>
                <w:szCs w:val="20"/>
                <w:lang w:eastAsia="en-CA"/>
              </w:rPr>
            </w:pPr>
            <w:r w:rsidRPr="006B1C5D">
              <w:rPr>
                <w:sz w:val="20"/>
                <w:szCs w:val="20"/>
                <w:lang w:eastAsia="en-CA"/>
              </w:rPr>
              <w:t>Occupancy Costs</w:t>
            </w:r>
          </w:p>
        </w:tc>
        <w:tc>
          <w:tcPr>
            <w:tcW w:w="874" w:type="dxa"/>
            <w:vAlign w:val="center"/>
            <w:hideMark/>
          </w:tcPr>
          <w:p w14:paraId="543880C9" w14:textId="77777777" w:rsidR="006B1C5D" w:rsidRPr="006B1C5D" w:rsidRDefault="006B1C5D" w:rsidP="006F1B7A">
            <w:pPr>
              <w:rPr>
                <w:sz w:val="20"/>
                <w:szCs w:val="20"/>
                <w:lang w:eastAsia="en-CA"/>
              </w:rPr>
            </w:pPr>
            <w:r w:rsidRPr="006B1C5D">
              <w:rPr>
                <w:sz w:val="20"/>
                <w:szCs w:val="20"/>
                <w:lang w:eastAsia="en-CA"/>
              </w:rPr>
              <w:t>$   120,000</w:t>
            </w:r>
          </w:p>
        </w:tc>
        <w:tc>
          <w:tcPr>
            <w:tcW w:w="0" w:type="auto"/>
            <w:vAlign w:val="center"/>
            <w:hideMark/>
          </w:tcPr>
          <w:p w14:paraId="16B18526" w14:textId="77777777" w:rsidR="006B1C5D" w:rsidRPr="006B1C5D" w:rsidRDefault="006B1C5D" w:rsidP="006F1B7A">
            <w:pPr>
              <w:ind w:left="925"/>
              <w:rPr>
                <w:sz w:val="20"/>
                <w:szCs w:val="20"/>
                <w:lang w:eastAsia="en-CA"/>
              </w:rPr>
            </w:pPr>
            <w:r w:rsidRPr="006B1C5D">
              <w:rPr>
                <w:sz w:val="20"/>
                <w:szCs w:val="20"/>
                <w:lang w:eastAsia="en-CA"/>
              </w:rPr>
              <w:t>$   120,000</w:t>
            </w:r>
          </w:p>
        </w:tc>
        <w:tc>
          <w:tcPr>
            <w:tcW w:w="2891" w:type="dxa"/>
            <w:vAlign w:val="center"/>
            <w:hideMark/>
          </w:tcPr>
          <w:p w14:paraId="334DCC63" w14:textId="77777777" w:rsidR="006B1C5D" w:rsidRPr="006B1C5D" w:rsidRDefault="006B1C5D" w:rsidP="006F1B7A">
            <w:pPr>
              <w:ind w:left="1202"/>
              <w:rPr>
                <w:sz w:val="20"/>
                <w:szCs w:val="20"/>
                <w:lang w:eastAsia="en-CA"/>
              </w:rPr>
            </w:pPr>
            <w:r w:rsidRPr="006B1C5D">
              <w:rPr>
                <w:sz w:val="20"/>
                <w:szCs w:val="20"/>
                <w:lang w:eastAsia="en-CA"/>
              </w:rPr>
              <w:t>$   120,000</w:t>
            </w:r>
          </w:p>
        </w:tc>
      </w:tr>
      <w:tr w:rsidR="006B1C5D" w:rsidRPr="006B1C5D" w14:paraId="291F0C9B" w14:textId="77777777" w:rsidTr="006F1B7A">
        <w:trPr>
          <w:tblCellSpacing w:w="15" w:type="dxa"/>
        </w:trPr>
        <w:tc>
          <w:tcPr>
            <w:tcW w:w="2700" w:type="dxa"/>
            <w:vAlign w:val="center"/>
            <w:hideMark/>
          </w:tcPr>
          <w:p w14:paraId="7847D926" w14:textId="77777777" w:rsidR="006B1C5D" w:rsidRPr="006B1C5D" w:rsidRDefault="006B1C5D" w:rsidP="006F1B7A">
            <w:pPr>
              <w:rPr>
                <w:sz w:val="20"/>
                <w:szCs w:val="20"/>
                <w:lang w:eastAsia="en-CA"/>
              </w:rPr>
            </w:pPr>
            <w:r w:rsidRPr="006B1C5D">
              <w:rPr>
                <w:sz w:val="20"/>
                <w:szCs w:val="20"/>
                <w:lang w:eastAsia="en-CA"/>
              </w:rPr>
              <w:t>Marketing (3%)</w:t>
            </w:r>
          </w:p>
        </w:tc>
        <w:tc>
          <w:tcPr>
            <w:tcW w:w="874" w:type="dxa"/>
            <w:vAlign w:val="center"/>
            <w:hideMark/>
          </w:tcPr>
          <w:p w14:paraId="776276D2" w14:textId="77777777" w:rsidR="006B1C5D" w:rsidRPr="006B1C5D" w:rsidRDefault="006B1C5D" w:rsidP="006F1B7A">
            <w:pPr>
              <w:rPr>
                <w:sz w:val="20"/>
                <w:szCs w:val="20"/>
                <w:lang w:eastAsia="en-CA"/>
              </w:rPr>
            </w:pPr>
            <w:r w:rsidRPr="006B1C5D">
              <w:rPr>
                <w:sz w:val="20"/>
                <w:szCs w:val="20"/>
                <w:lang w:eastAsia="en-CA"/>
              </w:rPr>
              <w:t>$     38,880</w:t>
            </w:r>
          </w:p>
        </w:tc>
        <w:tc>
          <w:tcPr>
            <w:tcW w:w="0" w:type="auto"/>
            <w:vAlign w:val="center"/>
            <w:hideMark/>
          </w:tcPr>
          <w:p w14:paraId="17754569" w14:textId="77777777" w:rsidR="006B1C5D" w:rsidRPr="006B1C5D" w:rsidRDefault="006B1C5D" w:rsidP="006F1B7A">
            <w:pPr>
              <w:ind w:left="925"/>
              <w:rPr>
                <w:sz w:val="20"/>
                <w:szCs w:val="20"/>
                <w:lang w:eastAsia="en-CA"/>
              </w:rPr>
            </w:pPr>
            <w:r w:rsidRPr="006B1C5D">
              <w:rPr>
                <w:sz w:val="20"/>
                <w:szCs w:val="20"/>
                <w:lang w:eastAsia="en-CA"/>
              </w:rPr>
              <w:t>$     40,824</w:t>
            </w:r>
          </w:p>
        </w:tc>
        <w:tc>
          <w:tcPr>
            <w:tcW w:w="2891" w:type="dxa"/>
            <w:vAlign w:val="center"/>
            <w:hideMark/>
          </w:tcPr>
          <w:p w14:paraId="08F48F03" w14:textId="77777777" w:rsidR="006B1C5D" w:rsidRPr="006B1C5D" w:rsidRDefault="006B1C5D" w:rsidP="006F1B7A">
            <w:pPr>
              <w:ind w:left="1202"/>
              <w:rPr>
                <w:sz w:val="20"/>
                <w:szCs w:val="20"/>
                <w:lang w:eastAsia="en-CA"/>
              </w:rPr>
            </w:pPr>
            <w:r w:rsidRPr="006B1C5D">
              <w:rPr>
                <w:sz w:val="20"/>
                <w:szCs w:val="20"/>
                <w:lang w:eastAsia="en-CA"/>
              </w:rPr>
              <w:t>$     42,865</w:t>
            </w:r>
          </w:p>
        </w:tc>
      </w:tr>
      <w:tr w:rsidR="006B1C5D" w:rsidRPr="006B1C5D" w14:paraId="0A62C54E" w14:textId="77777777" w:rsidTr="006F1B7A">
        <w:trPr>
          <w:tblCellSpacing w:w="15" w:type="dxa"/>
        </w:trPr>
        <w:tc>
          <w:tcPr>
            <w:tcW w:w="2700" w:type="dxa"/>
            <w:vAlign w:val="center"/>
            <w:hideMark/>
          </w:tcPr>
          <w:p w14:paraId="273357B9" w14:textId="77777777" w:rsidR="006B1C5D" w:rsidRPr="006B1C5D" w:rsidRDefault="006B1C5D" w:rsidP="006F1B7A">
            <w:pPr>
              <w:rPr>
                <w:sz w:val="20"/>
                <w:szCs w:val="20"/>
                <w:lang w:eastAsia="en-CA"/>
              </w:rPr>
            </w:pPr>
            <w:r w:rsidRPr="006B1C5D">
              <w:rPr>
                <w:sz w:val="20"/>
                <w:szCs w:val="20"/>
                <w:lang w:eastAsia="en-CA"/>
              </w:rPr>
              <w:t>Other Operating (5%)</w:t>
            </w:r>
          </w:p>
        </w:tc>
        <w:tc>
          <w:tcPr>
            <w:tcW w:w="874" w:type="dxa"/>
            <w:vAlign w:val="center"/>
            <w:hideMark/>
          </w:tcPr>
          <w:p w14:paraId="77B91DA2" w14:textId="77777777" w:rsidR="006B1C5D" w:rsidRPr="006B1C5D" w:rsidRDefault="006B1C5D" w:rsidP="006F1B7A">
            <w:pPr>
              <w:rPr>
                <w:sz w:val="20"/>
                <w:szCs w:val="20"/>
                <w:lang w:eastAsia="en-CA"/>
              </w:rPr>
            </w:pPr>
            <w:r w:rsidRPr="006B1C5D">
              <w:rPr>
                <w:sz w:val="20"/>
                <w:szCs w:val="20"/>
                <w:lang w:eastAsia="en-CA"/>
              </w:rPr>
              <w:t>$     64,800</w:t>
            </w:r>
          </w:p>
        </w:tc>
        <w:tc>
          <w:tcPr>
            <w:tcW w:w="0" w:type="auto"/>
            <w:vAlign w:val="center"/>
            <w:hideMark/>
          </w:tcPr>
          <w:p w14:paraId="13B2D05B" w14:textId="77777777" w:rsidR="006B1C5D" w:rsidRPr="006B1C5D" w:rsidRDefault="006B1C5D" w:rsidP="006F1B7A">
            <w:pPr>
              <w:ind w:left="925"/>
              <w:rPr>
                <w:sz w:val="20"/>
                <w:szCs w:val="20"/>
                <w:lang w:eastAsia="en-CA"/>
              </w:rPr>
            </w:pPr>
            <w:r w:rsidRPr="006B1C5D">
              <w:rPr>
                <w:sz w:val="20"/>
                <w:szCs w:val="20"/>
                <w:lang w:eastAsia="en-CA"/>
              </w:rPr>
              <w:t>$     68,040</w:t>
            </w:r>
          </w:p>
        </w:tc>
        <w:tc>
          <w:tcPr>
            <w:tcW w:w="2891" w:type="dxa"/>
            <w:vAlign w:val="center"/>
            <w:hideMark/>
          </w:tcPr>
          <w:p w14:paraId="4DEFFA51" w14:textId="77777777" w:rsidR="006B1C5D" w:rsidRPr="006B1C5D" w:rsidRDefault="006B1C5D" w:rsidP="006F1B7A">
            <w:pPr>
              <w:ind w:left="1202"/>
              <w:rPr>
                <w:sz w:val="20"/>
                <w:szCs w:val="20"/>
                <w:lang w:eastAsia="en-CA"/>
              </w:rPr>
            </w:pPr>
            <w:r w:rsidRPr="006B1C5D">
              <w:rPr>
                <w:sz w:val="20"/>
                <w:szCs w:val="20"/>
                <w:lang w:eastAsia="en-CA"/>
              </w:rPr>
              <w:t>$     71,442</w:t>
            </w:r>
          </w:p>
        </w:tc>
      </w:tr>
      <w:tr w:rsidR="006B1C5D" w:rsidRPr="006B1C5D" w14:paraId="12230467" w14:textId="77777777" w:rsidTr="006F1B7A">
        <w:trPr>
          <w:tblCellSpacing w:w="15" w:type="dxa"/>
        </w:trPr>
        <w:tc>
          <w:tcPr>
            <w:tcW w:w="2700" w:type="dxa"/>
            <w:vAlign w:val="center"/>
            <w:hideMark/>
          </w:tcPr>
          <w:p w14:paraId="0A37E694" w14:textId="77777777" w:rsidR="006B1C5D" w:rsidRPr="006B1C5D" w:rsidRDefault="006B1C5D" w:rsidP="006F1B7A">
            <w:pPr>
              <w:rPr>
                <w:sz w:val="20"/>
                <w:szCs w:val="20"/>
                <w:lang w:eastAsia="en-CA"/>
              </w:rPr>
            </w:pPr>
            <w:r w:rsidRPr="006B1C5D">
              <w:rPr>
                <w:sz w:val="20"/>
                <w:szCs w:val="20"/>
                <w:lang w:eastAsia="en-CA"/>
              </w:rPr>
              <w:t>Franchise Royalty (6%)</w:t>
            </w:r>
          </w:p>
        </w:tc>
        <w:tc>
          <w:tcPr>
            <w:tcW w:w="874" w:type="dxa"/>
            <w:vAlign w:val="center"/>
            <w:hideMark/>
          </w:tcPr>
          <w:p w14:paraId="1D9579CF" w14:textId="77777777" w:rsidR="006B1C5D" w:rsidRPr="006B1C5D" w:rsidRDefault="006B1C5D" w:rsidP="006F1B7A">
            <w:pPr>
              <w:rPr>
                <w:sz w:val="20"/>
                <w:szCs w:val="20"/>
                <w:lang w:eastAsia="en-CA"/>
              </w:rPr>
            </w:pPr>
            <w:r w:rsidRPr="006B1C5D">
              <w:rPr>
                <w:sz w:val="20"/>
                <w:szCs w:val="20"/>
                <w:lang w:eastAsia="en-CA"/>
              </w:rPr>
              <w:t>$     77,760</w:t>
            </w:r>
          </w:p>
        </w:tc>
        <w:tc>
          <w:tcPr>
            <w:tcW w:w="0" w:type="auto"/>
            <w:vAlign w:val="center"/>
            <w:hideMark/>
          </w:tcPr>
          <w:p w14:paraId="0A6EBCF7" w14:textId="77777777" w:rsidR="006B1C5D" w:rsidRPr="006B1C5D" w:rsidRDefault="006B1C5D" w:rsidP="006F1B7A">
            <w:pPr>
              <w:ind w:left="925"/>
              <w:rPr>
                <w:sz w:val="20"/>
                <w:szCs w:val="20"/>
                <w:lang w:eastAsia="en-CA"/>
              </w:rPr>
            </w:pPr>
            <w:r w:rsidRPr="006B1C5D">
              <w:rPr>
                <w:sz w:val="20"/>
                <w:szCs w:val="20"/>
                <w:lang w:eastAsia="en-CA"/>
              </w:rPr>
              <w:t>$     81,648</w:t>
            </w:r>
          </w:p>
        </w:tc>
        <w:tc>
          <w:tcPr>
            <w:tcW w:w="2891" w:type="dxa"/>
            <w:vAlign w:val="center"/>
            <w:hideMark/>
          </w:tcPr>
          <w:p w14:paraId="5553FD23" w14:textId="77777777" w:rsidR="006B1C5D" w:rsidRPr="006B1C5D" w:rsidRDefault="006B1C5D" w:rsidP="006F1B7A">
            <w:pPr>
              <w:ind w:left="1202"/>
              <w:rPr>
                <w:sz w:val="20"/>
                <w:szCs w:val="20"/>
                <w:lang w:eastAsia="en-CA"/>
              </w:rPr>
            </w:pPr>
            <w:r w:rsidRPr="006B1C5D">
              <w:rPr>
                <w:sz w:val="20"/>
                <w:szCs w:val="20"/>
                <w:lang w:eastAsia="en-CA"/>
              </w:rPr>
              <w:t>$     85,730</w:t>
            </w:r>
          </w:p>
        </w:tc>
      </w:tr>
      <w:tr w:rsidR="006B1C5D" w:rsidRPr="006B1C5D" w14:paraId="389A9BFC" w14:textId="77777777" w:rsidTr="006F1B7A">
        <w:trPr>
          <w:tblCellSpacing w:w="15" w:type="dxa"/>
        </w:trPr>
        <w:tc>
          <w:tcPr>
            <w:tcW w:w="2700" w:type="dxa"/>
            <w:vAlign w:val="center"/>
            <w:hideMark/>
          </w:tcPr>
          <w:p w14:paraId="646CB157" w14:textId="77777777" w:rsidR="006B1C5D" w:rsidRPr="006B1C5D" w:rsidRDefault="006B1C5D" w:rsidP="006F1B7A">
            <w:pPr>
              <w:rPr>
                <w:sz w:val="20"/>
                <w:szCs w:val="20"/>
                <w:lang w:eastAsia="en-CA"/>
              </w:rPr>
            </w:pPr>
            <w:r w:rsidRPr="006B1C5D">
              <w:rPr>
                <w:sz w:val="20"/>
                <w:szCs w:val="20"/>
                <w:lang w:eastAsia="en-CA"/>
              </w:rPr>
              <w:t>Adv. Fund (4%)</w:t>
            </w:r>
          </w:p>
        </w:tc>
        <w:tc>
          <w:tcPr>
            <w:tcW w:w="874" w:type="dxa"/>
            <w:vAlign w:val="center"/>
            <w:hideMark/>
          </w:tcPr>
          <w:p w14:paraId="38DC5336" w14:textId="77777777" w:rsidR="006B1C5D" w:rsidRPr="006B1C5D" w:rsidRDefault="006B1C5D" w:rsidP="006F1B7A">
            <w:pPr>
              <w:rPr>
                <w:sz w:val="20"/>
                <w:szCs w:val="20"/>
                <w:u w:val="single"/>
                <w:lang w:eastAsia="en-CA"/>
              </w:rPr>
            </w:pPr>
            <w:r w:rsidRPr="006B1C5D">
              <w:rPr>
                <w:sz w:val="20"/>
                <w:szCs w:val="20"/>
                <w:u w:val="single"/>
                <w:lang w:eastAsia="en-CA"/>
              </w:rPr>
              <w:t>$     51,840</w:t>
            </w:r>
          </w:p>
        </w:tc>
        <w:tc>
          <w:tcPr>
            <w:tcW w:w="0" w:type="auto"/>
            <w:vAlign w:val="center"/>
            <w:hideMark/>
          </w:tcPr>
          <w:p w14:paraId="77711B13" w14:textId="77777777" w:rsidR="006B1C5D" w:rsidRPr="006B1C5D" w:rsidRDefault="006B1C5D" w:rsidP="006F1B7A">
            <w:pPr>
              <w:ind w:left="925"/>
              <w:rPr>
                <w:sz w:val="20"/>
                <w:szCs w:val="20"/>
                <w:u w:val="single"/>
                <w:lang w:eastAsia="en-CA"/>
              </w:rPr>
            </w:pPr>
            <w:r w:rsidRPr="006B1C5D">
              <w:rPr>
                <w:sz w:val="20"/>
                <w:szCs w:val="20"/>
                <w:u w:val="single"/>
                <w:lang w:eastAsia="en-CA"/>
              </w:rPr>
              <w:t>$     54,432</w:t>
            </w:r>
          </w:p>
        </w:tc>
        <w:tc>
          <w:tcPr>
            <w:tcW w:w="2891" w:type="dxa"/>
            <w:vAlign w:val="center"/>
            <w:hideMark/>
          </w:tcPr>
          <w:p w14:paraId="4928ADA6" w14:textId="77777777" w:rsidR="006B1C5D" w:rsidRPr="006B1C5D" w:rsidRDefault="006B1C5D" w:rsidP="006F1B7A">
            <w:pPr>
              <w:ind w:left="1202"/>
              <w:rPr>
                <w:sz w:val="20"/>
                <w:szCs w:val="20"/>
                <w:u w:val="single"/>
                <w:lang w:eastAsia="en-CA"/>
              </w:rPr>
            </w:pPr>
            <w:r w:rsidRPr="006B1C5D">
              <w:rPr>
                <w:sz w:val="20"/>
                <w:szCs w:val="20"/>
                <w:u w:val="single"/>
                <w:lang w:eastAsia="en-CA"/>
              </w:rPr>
              <w:t>$     57,154</w:t>
            </w:r>
          </w:p>
        </w:tc>
      </w:tr>
      <w:tr w:rsidR="006B1C5D" w:rsidRPr="006B1C5D" w14:paraId="0FCE3139" w14:textId="77777777" w:rsidTr="006F1B7A">
        <w:trPr>
          <w:tblCellSpacing w:w="15" w:type="dxa"/>
        </w:trPr>
        <w:tc>
          <w:tcPr>
            <w:tcW w:w="2700" w:type="dxa"/>
            <w:vAlign w:val="center"/>
            <w:hideMark/>
          </w:tcPr>
          <w:p w14:paraId="1E5EF4DB" w14:textId="77777777" w:rsidR="006B1C5D" w:rsidRPr="006B1C5D" w:rsidRDefault="006B1C5D" w:rsidP="006F1B7A">
            <w:pPr>
              <w:rPr>
                <w:sz w:val="20"/>
                <w:szCs w:val="20"/>
                <w:lang w:eastAsia="en-CA"/>
              </w:rPr>
            </w:pPr>
            <w:r w:rsidRPr="006B1C5D">
              <w:rPr>
                <w:b/>
                <w:bCs/>
                <w:sz w:val="20"/>
                <w:szCs w:val="20"/>
                <w:lang w:eastAsia="en-CA"/>
              </w:rPr>
              <w:t>EBITDA</w:t>
            </w:r>
          </w:p>
        </w:tc>
        <w:tc>
          <w:tcPr>
            <w:tcW w:w="874" w:type="dxa"/>
            <w:vAlign w:val="center"/>
            <w:hideMark/>
          </w:tcPr>
          <w:p w14:paraId="3BE43506" w14:textId="77777777" w:rsidR="006B1C5D" w:rsidRPr="006B1C5D" w:rsidRDefault="006B1C5D" w:rsidP="006F1B7A">
            <w:pPr>
              <w:rPr>
                <w:b/>
                <w:bCs/>
                <w:sz w:val="20"/>
                <w:szCs w:val="20"/>
                <w:lang w:eastAsia="en-CA"/>
              </w:rPr>
            </w:pPr>
            <w:r w:rsidRPr="006B1C5D">
              <w:rPr>
                <w:b/>
                <w:bCs/>
                <w:sz w:val="20"/>
                <w:szCs w:val="20"/>
                <w:lang w:eastAsia="en-CA"/>
              </w:rPr>
              <w:t>$   164,520</w:t>
            </w:r>
          </w:p>
        </w:tc>
        <w:tc>
          <w:tcPr>
            <w:tcW w:w="0" w:type="auto"/>
            <w:vAlign w:val="center"/>
            <w:hideMark/>
          </w:tcPr>
          <w:p w14:paraId="3CD2FB40" w14:textId="77777777" w:rsidR="006B1C5D" w:rsidRPr="006B1C5D" w:rsidRDefault="006B1C5D" w:rsidP="006F1B7A">
            <w:pPr>
              <w:ind w:left="925"/>
              <w:rPr>
                <w:b/>
                <w:bCs/>
                <w:sz w:val="20"/>
                <w:szCs w:val="20"/>
                <w:lang w:eastAsia="en-CA"/>
              </w:rPr>
            </w:pPr>
            <w:r w:rsidRPr="006B1C5D">
              <w:rPr>
                <w:b/>
                <w:bCs/>
                <w:sz w:val="20"/>
                <w:szCs w:val="20"/>
                <w:lang w:eastAsia="en-CA"/>
              </w:rPr>
              <w:t>$   179,376</w:t>
            </w:r>
          </w:p>
        </w:tc>
        <w:tc>
          <w:tcPr>
            <w:tcW w:w="2891" w:type="dxa"/>
            <w:vAlign w:val="center"/>
            <w:hideMark/>
          </w:tcPr>
          <w:p w14:paraId="04FD9873" w14:textId="77777777" w:rsidR="006B1C5D" w:rsidRPr="006B1C5D" w:rsidRDefault="006B1C5D" w:rsidP="006F1B7A">
            <w:pPr>
              <w:ind w:left="1202"/>
              <w:rPr>
                <w:b/>
                <w:bCs/>
                <w:sz w:val="20"/>
                <w:szCs w:val="20"/>
                <w:lang w:eastAsia="en-CA"/>
              </w:rPr>
            </w:pPr>
            <w:r w:rsidRPr="006B1C5D">
              <w:rPr>
                <w:b/>
                <w:bCs/>
                <w:sz w:val="20"/>
                <w:szCs w:val="20"/>
                <w:lang w:eastAsia="en-CA"/>
              </w:rPr>
              <w:t>$   194,345</w:t>
            </w:r>
          </w:p>
        </w:tc>
      </w:tr>
      <w:tr w:rsidR="006B1C5D" w:rsidRPr="006B1C5D" w14:paraId="0CE59E86" w14:textId="77777777" w:rsidTr="006F1B7A">
        <w:trPr>
          <w:tblCellSpacing w:w="15" w:type="dxa"/>
        </w:trPr>
        <w:tc>
          <w:tcPr>
            <w:tcW w:w="2700" w:type="dxa"/>
            <w:vAlign w:val="center"/>
            <w:hideMark/>
          </w:tcPr>
          <w:p w14:paraId="74430915" w14:textId="77777777" w:rsidR="006B1C5D" w:rsidRPr="006B1C5D" w:rsidRDefault="006B1C5D" w:rsidP="006F1B7A">
            <w:pPr>
              <w:rPr>
                <w:sz w:val="20"/>
                <w:szCs w:val="20"/>
                <w:lang w:eastAsia="en-CA"/>
              </w:rPr>
            </w:pPr>
            <w:r w:rsidRPr="006B1C5D">
              <w:rPr>
                <w:sz w:val="20"/>
                <w:szCs w:val="20"/>
                <w:lang w:eastAsia="en-CA"/>
              </w:rPr>
              <w:t>Interest Expense</w:t>
            </w:r>
          </w:p>
        </w:tc>
        <w:tc>
          <w:tcPr>
            <w:tcW w:w="874" w:type="dxa"/>
            <w:vAlign w:val="center"/>
            <w:hideMark/>
          </w:tcPr>
          <w:p w14:paraId="4AC05F5E" w14:textId="77777777" w:rsidR="006B1C5D" w:rsidRPr="006B1C5D" w:rsidRDefault="006B1C5D" w:rsidP="006F1B7A">
            <w:pPr>
              <w:rPr>
                <w:sz w:val="20"/>
                <w:szCs w:val="20"/>
                <w:lang w:eastAsia="en-CA"/>
              </w:rPr>
            </w:pPr>
            <w:r w:rsidRPr="006B1C5D">
              <w:rPr>
                <w:sz w:val="20"/>
                <w:szCs w:val="20"/>
                <w:lang w:eastAsia="en-CA"/>
              </w:rPr>
              <w:t>$     30,000</w:t>
            </w:r>
          </w:p>
        </w:tc>
        <w:tc>
          <w:tcPr>
            <w:tcW w:w="0" w:type="auto"/>
            <w:vAlign w:val="center"/>
            <w:hideMark/>
          </w:tcPr>
          <w:p w14:paraId="511772FD" w14:textId="77777777" w:rsidR="006B1C5D" w:rsidRPr="006B1C5D" w:rsidRDefault="006B1C5D" w:rsidP="006F1B7A">
            <w:pPr>
              <w:ind w:left="925"/>
              <w:rPr>
                <w:sz w:val="20"/>
                <w:szCs w:val="20"/>
                <w:lang w:eastAsia="en-CA"/>
              </w:rPr>
            </w:pPr>
            <w:r w:rsidRPr="006B1C5D">
              <w:rPr>
                <w:sz w:val="20"/>
                <w:szCs w:val="20"/>
                <w:lang w:eastAsia="en-CA"/>
              </w:rPr>
              <w:t>$    30,000</w:t>
            </w:r>
          </w:p>
        </w:tc>
        <w:tc>
          <w:tcPr>
            <w:tcW w:w="2891" w:type="dxa"/>
            <w:vAlign w:val="center"/>
            <w:hideMark/>
          </w:tcPr>
          <w:p w14:paraId="0BA32596" w14:textId="77777777" w:rsidR="006B1C5D" w:rsidRPr="006B1C5D" w:rsidRDefault="006B1C5D" w:rsidP="006F1B7A">
            <w:pPr>
              <w:ind w:left="1202"/>
              <w:rPr>
                <w:sz w:val="20"/>
                <w:szCs w:val="20"/>
                <w:lang w:eastAsia="en-CA"/>
              </w:rPr>
            </w:pPr>
            <w:r w:rsidRPr="006B1C5D">
              <w:rPr>
                <w:sz w:val="20"/>
                <w:szCs w:val="20"/>
                <w:lang w:eastAsia="en-CA"/>
              </w:rPr>
              <w:t>$     30,000</w:t>
            </w:r>
          </w:p>
        </w:tc>
      </w:tr>
      <w:tr w:rsidR="006B1C5D" w:rsidRPr="006B1C5D" w14:paraId="40D8AF29" w14:textId="77777777" w:rsidTr="006F1B7A">
        <w:trPr>
          <w:tblCellSpacing w:w="15" w:type="dxa"/>
        </w:trPr>
        <w:tc>
          <w:tcPr>
            <w:tcW w:w="2700" w:type="dxa"/>
            <w:vAlign w:val="center"/>
            <w:hideMark/>
          </w:tcPr>
          <w:p w14:paraId="5FFF228A" w14:textId="77777777" w:rsidR="006B1C5D" w:rsidRPr="006B1C5D" w:rsidRDefault="006B1C5D" w:rsidP="006F1B7A">
            <w:pPr>
              <w:rPr>
                <w:sz w:val="20"/>
                <w:szCs w:val="20"/>
                <w:lang w:eastAsia="en-CA"/>
              </w:rPr>
            </w:pPr>
            <w:r w:rsidRPr="006B1C5D">
              <w:rPr>
                <w:sz w:val="20"/>
                <w:szCs w:val="20"/>
                <w:lang w:eastAsia="en-CA"/>
              </w:rPr>
              <w:t>Depreciation</w:t>
            </w:r>
          </w:p>
        </w:tc>
        <w:tc>
          <w:tcPr>
            <w:tcW w:w="874" w:type="dxa"/>
            <w:vAlign w:val="center"/>
            <w:hideMark/>
          </w:tcPr>
          <w:p w14:paraId="59DCFA3F" w14:textId="77777777" w:rsidR="006B1C5D" w:rsidRPr="006B1C5D" w:rsidRDefault="006B1C5D" w:rsidP="006F1B7A">
            <w:pPr>
              <w:rPr>
                <w:sz w:val="20"/>
                <w:szCs w:val="20"/>
                <w:u w:val="single"/>
                <w:lang w:eastAsia="en-CA"/>
              </w:rPr>
            </w:pPr>
            <w:r w:rsidRPr="006B1C5D">
              <w:rPr>
                <w:sz w:val="20"/>
                <w:szCs w:val="20"/>
                <w:u w:val="single"/>
                <w:lang w:eastAsia="en-CA"/>
              </w:rPr>
              <w:t>$     50,000</w:t>
            </w:r>
          </w:p>
        </w:tc>
        <w:tc>
          <w:tcPr>
            <w:tcW w:w="0" w:type="auto"/>
            <w:vAlign w:val="center"/>
            <w:hideMark/>
          </w:tcPr>
          <w:p w14:paraId="0D79353B" w14:textId="77777777" w:rsidR="006B1C5D" w:rsidRPr="006B1C5D" w:rsidRDefault="006B1C5D" w:rsidP="006F1B7A">
            <w:pPr>
              <w:ind w:left="925"/>
              <w:rPr>
                <w:sz w:val="20"/>
                <w:szCs w:val="20"/>
                <w:u w:val="single"/>
                <w:lang w:eastAsia="en-CA"/>
              </w:rPr>
            </w:pPr>
            <w:r w:rsidRPr="006B1C5D">
              <w:rPr>
                <w:sz w:val="20"/>
                <w:szCs w:val="20"/>
                <w:u w:val="single"/>
                <w:lang w:eastAsia="en-CA"/>
              </w:rPr>
              <w:t>$    50,000</w:t>
            </w:r>
          </w:p>
        </w:tc>
        <w:tc>
          <w:tcPr>
            <w:tcW w:w="2891" w:type="dxa"/>
            <w:vAlign w:val="center"/>
            <w:hideMark/>
          </w:tcPr>
          <w:p w14:paraId="7DFBD2F3" w14:textId="77777777" w:rsidR="006B1C5D" w:rsidRPr="006B1C5D" w:rsidRDefault="006B1C5D" w:rsidP="006F1B7A">
            <w:pPr>
              <w:ind w:left="1202"/>
              <w:rPr>
                <w:sz w:val="20"/>
                <w:szCs w:val="20"/>
                <w:u w:val="single"/>
                <w:lang w:eastAsia="en-CA"/>
              </w:rPr>
            </w:pPr>
            <w:r w:rsidRPr="006B1C5D">
              <w:rPr>
                <w:sz w:val="20"/>
                <w:szCs w:val="20"/>
                <w:u w:val="single"/>
                <w:lang w:eastAsia="en-CA"/>
              </w:rPr>
              <w:t>$     50,000</w:t>
            </w:r>
          </w:p>
        </w:tc>
      </w:tr>
      <w:tr w:rsidR="006B1C5D" w:rsidRPr="006B1C5D" w14:paraId="5CC2D085" w14:textId="77777777" w:rsidTr="006F1B7A">
        <w:trPr>
          <w:tblCellSpacing w:w="15" w:type="dxa"/>
        </w:trPr>
        <w:tc>
          <w:tcPr>
            <w:tcW w:w="2700" w:type="dxa"/>
            <w:vAlign w:val="center"/>
            <w:hideMark/>
          </w:tcPr>
          <w:p w14:paraId="53C48D89" w14:textId="77777777" w:rsidR="006B1C5D" w:rsidRPr="006B1C5D" w:rsidRDefault="006B1C5D" w:rsidP="006F1B7A">
            <w:pPr>
              <w:rPr>
                <w:b/>
                <w:bCs/>
                <w:sz w:val="20"/>
                <w:szCs w:val="20"/>
                <w:lang w:eastAsia="en-CA"/>
              </w:rPr>
            </w:pPr>
            <w:r w:rsidRPr="006B1C5D">
              <w:rPr>
                <w:b/>
                <w:bCs/>
                <w:sz w:val="20"/>
                <w:szCs w:val="20"/>
                <w:lang w:eastAsia="en-CA"/>
              </w:rPr>
              <w:t>Earnings Before Tax</w:t>
            </w:r>
          </w:p>
        </w:tc>
        <w:tc>
          <w:tcPr>
            <w:tcW w:w="874" w:type="dxa"/>
            <w:vAlign w:val="center"/>
            <w:hideMark/>
          </w:tcPr>
          <w:p w14:paraId="3676B236" w14:textId="77777777" w:rsidR="006B1C5D" w:rsidRPr="006B1C5D" w:rsidRDefault="006B1C5D" w:rsidP="006F1B7A">
            <w:pPr>
              <w:rPr>
                <w:b/>
                <w:bCs/>
                <w:sz w:val="20"/>
                <w:szCs w:val="20"/>
                <w:lang w:eastAsia="en-CA"/>
              </w:rPr>
            </w:pPr>
            <w:r w:rsidRPr="006B1C5D">
              <w:rPr>
                <w:b/>
                <w:bCs/>
                <w:sz w:val="20"/>
                <w:szCs w:val="20"/>
                <w:lang w:eastAsia="en-CA"/>
              </w:rPr>
              <w:t>$     84,520</w:t>
            </w:r>
          </w:p>
        </w:tc>
        <w:tc>
          <w:tcPr>
            <w:tcW w:w="0" w:type="auto"/>
            <w:vAlign w:val="center"/>
            <w:hideMark/>
          </w:tcPr>
          <w:p w14:paraId="029F9B9C" w14:textId="77777777" w:rsidR="006B1C5D" w:rsidRPr="006B1C5D" w:rsidRDefault="006B1C5D" w:rsidP="006F1B7A">
            <w:pPr>
              <w:ind w:left="925"/>
              <w:rPr>
                <w:b/>
                <w:bCs/>
                <w:sz w:val="20"/>
                <w:szCs w:val="20"/>
                <w:lang w:eastAsia="en-CA"/>
              </w:rPr>
            </w:pPr>
            <w:r w:rsidRPr="006B1C5D">
              <w:rPr>
                <w:b/>
                <w:bCs/>
                <w:sz w:val="20"/>
                <w:szCs w:val="20"/>
                <w:lang w:eastAsia="en-CA"/>
              </w:rPr>
              <w:t>$    99,376</w:t>
            </w:r>
          </w:p>
        </w:tc>
        <w:tc>
          <w:tcPr>
            <w:tcW w:w="2891" w:type="dxa"/>
            <w:vAlign w:val="center"/>
            <w:hideMark/>
          </w:tcPr>
          <w:p w14:paraId="402168EB" w14:textId="77777777" w:rsidR="006B1C5D" w:rsidRPr="006B1C5D" w:rsidRDefault="006B1C5D" w:rsidP="006F1B7A">
            <w:pPr>
              <w:ind w:left="1202"/>
              <w:rPr>
                <w:b/>
                <w:bCs/>
                <w:sz w:val="20"/>
                <w:szCs w:val="20"/>
                <w:lang w:eastAsia="en-CA"/>
              </w:rPr>
            </w:pPr>
            <w:r w:rsidRPr="006B1C5D">
              <w:rPr>
                <w:b/>
                <w:bCs/>
                <w:sz w:val="20"/>
                <w:szCs w:val="20"/>
                <w:lang w:eastAsia="en-CA"/>
              </w:rPr>
              <w:t>$    114,345</w:t>
            </w:r>
          </w:p>
        </w:tc>
      </w:tr>
      <w:tr w:rsidR="006B1C5D" w:rsidRPr="006B1C5D" w14:paraId="3FBF8963" w14:textId="77777777" w:rsidTr="006F1B7A">
        <w:trPr>
          <w:tblCellSpacing w:w="15" w:type="dxa"/>
        </w:trPr>
        <w:tc>
          <w:tcPr>
            <w:tcW w:w="2700" w:type="dxa"/>
            <w:vAlign w:val="center"/>
            <w:hideMark/>
          </w:tcPr>
          <w:p w14:paraId="38C6644B" w14:textId="77777777" w:rsidR="006B1C5D" w:rsidRPr="006B1C5D" w:rsidRDefault="006B1C5D" w:rsidP="006F1B7A">
            <w:pPr>
              <w:rPr>
                <w:sz w:val="20"/>
                <w:szCs w:val="20"/>
                <w:lang w:eastAsia="en-CA"/>
              </w:rPr>
            </w:pPr>
            <w:r w:rsidRPr="006B1C5D">
              <w:rPr>
                <w:sz w:val="20"/>
                <w:szCs w:val="20"/>
                <w:lang w:eastAsia="en-CA"/>
              </w:rPr>
              <w:t>Taxes</w:t>
            </w:r>
          </w:p>
          <w:p w14:paraId="2E027341" w14:textId="77777777" w:rsidR="006B1C5D" w:rsidRPr="006B1C5D" w:rsidRDefault="006B1C5D" w:rsidP="006F1B7A">
            <w:pPr>
              <w:rPr>
                <w:b/>
                <w:bCs/>
                <w:sz w:val="20"/>
                <w:szCs w:val="20"/>
                <w:lang w:eastAsia="en-CA"/>
              </w:rPr>
            </w:pPr>
            <w:r w:rsidRPr="006B1C5D">
              <w:rPr>
                <w:b/>
                <w:bCs/>
                <w:sz w:val="20"/>
                <w:szCs w:val="20"/>
                <w:lang w:eastAsia="en-CA"/>
              </w:rPr>
              <w:t xml:space="preserve">Earnings After Tax </w:t>
            </w:r>
          </w:p>
          <w:p w14:paraId="2F0C4E92" w14:textId="77777777" w:rsidR="006B1C5D" w:rsidRPr="006B1C5D" w:rsidRDefault="006B1C5D" w:rsidP="006F1B7A">
            <w:pPr>
              <w:rPr>
                <w:sz w:val="20"/>
                <w:szCs w:val="20"/>
                <w:vertAlign w:val="superscript"/>
                <w:lang w:eastAsia="en-CA"/>
              </w:rPr>
            </w:pPr>
            <w:r w:rsidRPr="006B1C5D">
              <w:rPr>
                <w:sz w:val="20"/>
                <w:szCs w:val="20"/>
                <w:lang w:eastAsia="en-CA"/>
              </w:rPr>
              <w:t>Add Depreciation</w:t>
            </w:r>
          </w:p>
        </w:tc>
        <w:tc>
          <w:tcPr>
            <w:tcW w:w="874" w:type="dxa"/>
            <w:vAlign w:val="center"/>
            <w:hideMark/>
          </w:tcPr>
          <w:p w14:paraId="062EF53C" w14:textId="77777777" w:rsidR="006B1C5D" w:rsidRPr="006B1C5D" w:rsidRDefault="006B1C5D" w:rsidP="006F1B7A">
            <w:pPr>
              <w:rPr>
                <w:sz w:val="20"/>
                <w:szCs w:val="20"/>
                <w:u w:val="single"/>
                <w:lang w:eastAsia="en-CA"/>
              </w:rPr>
            </w:pPr>
            <w:r w:rsidRPr="006B1C5D">
              <w:rPr>
                <w:sz w:val="20"/>
                <w:szCs w:val="20"/>
                <w:u w:val="single"/>
                <w:lang w:eastAsia="en-CA"/>
              </w:rPr>
              <w:t>$     16,904</w:t>
            </w:r>
          </w:p>
          <w:p w14:paraId="5282A921" w14:textId="77777777" w:rsidR="006B1C5D" w:rsidRPr="006B1C5D" w:rsidRDefault="006B1C5D" w:rsidP="006F1B7A">
            <w:pPr>
              <w:rPr>
                <w:b/>
                <w:bCs/>
                <w:sz w:val="20"/>
                <w:szCs w:val="20"/>
                <w:lang w:eastAsia="en-CA"/>
              </w:rPr>
            </w:pPr>
            <w:r w:rsidRPr="006B1C5D">
              <w:rPr>
                <w:b/>
                <w:bCs/>
                <w:sz w:val="20"/>
                <w:szCs w:val="20"/>
                <w:lang w:eastAsia="en-CA"/>
              </w:rPr>
              <w:t>$     67,616</w:t>
            </w:r>
          </w:p>
          <w:p w14:paraId="799F48E0" w14:textId="77777777" w:rsidR="006B1C5D" w:rsidRPr="006B1C5D" w:rsidRDefault="006B1C5D" w:rsidP="006F1B7A">
            <w:pPr>
              <w:rPr>
                <w:sz w:val="20"/>
                <w:szCs w:val="20"/>
                <w:u w:val="single"/>
                <w:lang w:eastAsia="en-CA"/>
              </w:rPr>
            </w:pPr>
            <w:r w:rsidRPr="006B1C5D">
              <w:rPr>
                <w:sz w:val="20"/>
                <w:szCs w:val="20"/>
                <w:u w:val="single"/>
                <w:lang w:eastAsia="en-CA"/>
              </w:rPr>
              <w:t>$     50,000</w:t>
            </w:r>
          </w:p>
        </w:tc>
        <w:tc>
          <w:tcPr>
            <w:tcW w:w="0" w:type="auto"/>
            <w:vAlign w:val="center"/>
            <w:hideMark/>
          </w:tcPr>
          <w:p w14:paraId="6EBBBD2C" w14:textId="77777777" w:rsidR="006B1C5D" w:rsidRPr="006B1C5D" w:rsidRDefault="006B1C5D" w:rsidP="006F1B7A">
            <w:pPr>
              <w:ind w:left="925"/>
              <w:rPr>
                <w:sz w:val="20"/>
                <w:szCs w:val="20"/>
                <w:u w:val="single"/>
                <w:lang w:eastAsia="en-CA"/>
              </w:rPr>
            </w:pPr>
            <w:r w:rsidRPr="006B1C5D">
              <w:rPr>
                <w:sz w:val="20"/>
                <w:szCs w:val="20"/>
                <w:u w:val="single"/>
                <w:lang w:eastAsia="en-CA"/>
              </w:rPr>
              <w:t xml:space="preserve">$    19,876   </w:t>
            </w:r>
          </w:p>
          <w:p w14:paraId="33552E4E" w14:textId="77777777" w:rsidR="006B1C5D" w:rsidRPr="006B1C5D" w:rsidRDefault="006B1C5D" w:rsidP="006F1B7A">
            <w:pPr>
              <w:ind w:left="925"/>
              <w:rPr>
                <w:b/>
                <w:bCs/>
                <w:sz w:val="20"/>
                <w:szCs w:val="20"/>
                <w:lang w:eastAsia="en-CA"/>
              </w:rPr>
            </w:pPr>
            <w:r w:rsidRPr="006B1C5D">
              <w:rPr>
                <w:b/>
                <w:bCs/>
                <w:sz w:val="20"/>
                <w:szCs w:val="20"/>
                <w:lang w:eastAsia="en-CA"/>
              </w:rPr>
              <w:t>$    79,500</w:t>
            </w:r>
          </w:p>
          <w:p w14:paraId="65DE40C6" w14:textId="77777777" w:rsidR="006B1C5D" w:rsidRPr="006B1C5D" w:rsidRDefault="006B1C5D" w:rsidP="006F1B7A">
            <w:pPr>
              <w:ind w:left="925"/>
              <w:rPr>
                <w:sz w:val="20"/>
                <w:szCs w:val="20"/>
                <w:u w:val="single"/>
                <w:lang w:eastAsia="en-CA"/>
              </w:rPr>
            </w:pPr>
            <w:r w:rsidRPr="006B1C5D">
              <w:rPr>
                <w:sz w:val="20"/>
                <w:szCs w:val="20"/>
                <w:u w:val="single"/>
                <w:lang w:eastAsia="en-CA"/>
              </w:rPr>
              <w:t>$    50,000</w:t>
            </w:r>
          </w:p>
        </w:tc>
        <w:tc>
          <w:tcPr>
            <w:tcW w:w="2891" w:type="dxa"/>
            <w:vAlign w:val="center"/>
            <w:hideMark/>
          </w:tcPr>
          <w:p w14:paraId="1A67CEFD" w14:textId="77777777" w:rsidR="006B1C5D" w:rsidRPr="006B1C5D" w:rsidRDefault="006B1C5D" w:rsidP="006F1B7A">
            <w:pPr>
              <w:ind w:left="1202"/>
              <w:rPr>
                <w:sz w:val="20"/>
                <w:szCs w:val="20"/>
                <w:u w:val="single"/>
                <w:lang w:eastAsia="en-CA"/>
              </w:rPr>
            </w:pPr>
            <w:r w:rsidRPr="006B1C5D">
              <w:rPr>
                <w:sz w:val="20"/>
                <w:szCs w:val="20"/>
                <w:u w:val="single"/>
                <w:lang w:eastAsia="en-CA"/>
              </w:rPr>
              <w:t>$      22,869</w:t>
            </w:r>
          </w:p>
          <w:p w14:paraId="1B7C7855" w14:textId="77777777" w:rsidR="006B1C5D" w:rsidRPr="006B1C5D" w:rsidRDefault="006B1C5D" w:rsidP="006F1B7A">
            <w:pPr>
              <w:ind w:left="1202"/>
              <w:rPr>
                <w:b/>
                <w:bCs/>
                <w:sz w:val="20"/>
                <w:szCs w:val="20"/>
                <w:lang w:eastAsia="en-CA"/>
              </w:rPr>
            </w:pPr>
            <w:r w:rsidRPr="006B1C5D">
              <w:rPr>
                <w:b/>
                <w:bCs/>
                <w:sz w:val="20"/>
                <w:szCs w:val="20"/>
                <w:lang w:eastAsia="en-CA"/>
              </w:rPr>
              <w:t>$      91,476</w:t>
            </w:r>
          </w:p>
          <w:p w14:paraId="1121261B" w14:textId="77777777" w:rsidR="006B1C5D" w:rsidRPr="006B1C5D" w:rsidRDefault="006B1C5D" w:rsidP="006F1B7A">
            <w:pPr>
              <w:ind w:left="1202"/>
              <w:rPr>
                <w:sz w:val="20"/>
                <w:szCs w:val="20"/>
                <w:u w:val="single"/>
                <w:lang w:eastAsia="en-CA"/>
              </w:rPr>
            </w:pPr>
            <w:r w:rsidRPr="006B1C5D">
              <w:rPr>
                <w:sz w:val="20"/>
                <w:szCs w:val="20"/>
                <w:u w:val="single"/>
                <w:lang w:eastAsia="en-CA"/>
              </w:rPr>
              <w:t>$      50,000</w:t>
            </w:r>
          </w:p>
        </w:tc>
      </w:tr>
      <w:tr w:rsidR="006B1C5D" w:rsidRPr="006B1C5D" w14:paraId="694BC686" w14:textId="77777777" w:rsidTr="006F1B7A">
        <w:trPr>
          <w:tblCellSpacing w:w="15" w:type="dxa"/>
        </w:trPr>
        <w:tc>
          <w:tcPr>
            <w:tcW w:w="2700" w:type="dxa"/>
            <w:vAlign w:val="center"/>
          </w:tcPr>
          <w:p w14:paraId="320681EB" w14:textId="77777777" w:rsidR="006B1C5D" w:rsidRPr="006B1C5D" w:rsidRDefault="006B1C5D" w:rsidP="006F1B7A">
            <w:pPr>
              <w:rPr>
                <w:b/>
                <w:bCs/>
                <w:sz w:val="20"/>
                <w:szCs w:val="20"/>
                <w:lang w:eastAsia="en-CA"/>
              </w:rPr>
            </w:pPr>
            <w:r w:rsidRPr="006B1C5D">
              <w:rPr>
                <w:b/>
                <w:bCs/>
                <w:sz w:val="20"/>
                <w:szCs w:val="20"/>
                <w:lang w:eastAsia="en-CA"/>
              </w:rPr>
              <w:t xml:space="preserve">Cash After Tax </w:t>
            </w:r>
          </w:p>
        </w:tc>
        <w:tc>
          <w:tcPr>
            <w:tcW w:w="874" w:type="dxa"/>
            <w:vAlign w:val="center"/>
          </w:tcPr>
          <w:p w14:paraId="3EB2DDE0" w14:textId="77777777" w:rsidR="006B1C5D" w:rsidRPr="006B1C5D" w:rsidRDefault="006B1C5D" w:rsidP="006F1B7A">
            <w:pPr>
              <w:rPr>
                <w:sz w:val="20"/>
                <w:szCs w:val="20"/>
                <w:lang w:eastAsia="en-CA"/>
              </w:rPr>
            </w:pPr>
            <w:proofErr w:type="gramStart"/>
            <w:r w:rsidRPr="006B1C5D">
              <w:rPr>
                <w:sz w:val="20"/>
                <w:szCs w:val="20"/>
                <w:lang w:eastAsia="en-CA"/>
              </w:rPr>
              <w:t>$  117,616</w:t>
            </w:r>
            <w:proofErr w:type="gramEnd"/>
          </w:p>
        </w:tc>
        <w:tc>
          <w:tcPr>
            <w:tcW w:w="0" w:type="auto"/>
            <w:vAlign w:val="center"/>
          </w:tcPr>
          <w:p w14:paraId="6EF6BB7B" w14:textId="77777777" w:rsidR="006B1C5D" w:rsidRPr="006B1C5D" w:rsidRDefault="006B1C5D" w:rsidP="006F1B7A">
            <w:pPr>
              <w:ind w:left="925"/>
              <w:rPr>
                <w:sz w:val="20"/>
                <w:szCs w:val="20"/>
                <w:lang w:eastAsia="en-CA"/>
              </w:rPr>
            </w:pPr>
            <w:proofErr w:type="gramStart"/>
            <w:r w:rsidRPr="006B1C5D">
              <w:rPr>
                <w:sz w:val="20"/>
                <w:szCs w:val="20"/>
                <w:lang w:eastAsia="en-CA"/>
              </w:rPr>
              <w:t>$  129,500</w:t>
            </w:r>
            <w:proofErr w:type="gramEnd"/>
          </w:p>
        </w:tc>
        <w:tc>
          <w:tcPr>
            <w:tcW w:w="2891" w:type="dxa"/>
            <w:vAlign w:val="center"/>
          </w:tcPr>
          <w:p w14:paraId="0A83471C" w14:textId="77777777" w:rsidR="006B1C5D" w:rsidRPr="006B1C5D" w:rsidRDefault="006B1C5D" w:rsidP="006F1B7A">
            <w:pPr>
              <w:rPr>
                <w:b/>
                <w:bCs/>
                <w:sz w:val="20"/>
                <w:szCs w:val="20"/>
                <w:lang w:eastAsia="en-CA"/>
              </w:rPr>
            </w:pPr>
            <w:r w:rsidRPr="006B1C5D">
              <w:rPr>
                <w:b/>
                <w:bCs/>
                <w:sz w:val="20"/>
                <w:szCs w:val="20"/>
                <w:lang w:eastAsia="en-CA"/>
              </w:rPr>
              <w:t xml:space="preserve">                    $    141,476</w:t>
            </w:r>
          </w:p>
        </w:tc>
      </w:tr>
      <w:tr w:rsidR="006B1C5D" w:rsidRPr="006B1C5D" w14:paraId="39A0B75E" w14:textId="77777777" w:rsidTr="006F1B7A">
        <w:trPr>
          <w:tblCellSpacing w:w="15" w:type="dxa"/>
        </w:trPr>
        <w:tc>
          <w:tcPr>
            <w:tcW w:w="2700" w:type="dxa"/>
            <w:vAlign w:val="center"/>
          </w:tcPr>
          <w:p w14:paraId="1B0BFC37" w14:textId="77777777" w:rsidR="006B1C5D" w:rsidRPr="006B1C5D" w:rsidRDefault="006B1C5D" w:rsidP="006F1B7A">
            <w:pPr>
              <w:rPr>
                <w:sz w:val="20"/>
                <w:szCs w:val="20"/>
                <w:lang w:eastAsia="en-CA"/>
              </w:rPr>
            </w:pPr>
            <w:r w:rsidRPr="006B1C5D">
              <w:rPr>
                <w:sz w:val="20"/>
                <w:szCs w:val="20"/>
                <w:lang w:eastAsia="en-CA"/>
              </w:rPr>
              <w:t>Loan Repayment</w:t>
            </w:r>
          </w:p>
        </w:tc>
        <w:tc>
          <w:tcPr>
            <w:tcW w:w="874" w:type="dxa"/>
            <w:vAlign w:val="center"/>
          </w:tcPr>
          <w:p w14:paraId="35D79549" w14:textId="77777777" w:rsidR="006B1C5D" w:rsidRPr="006B1C5D" w:rsidRDefault="006B1C5D" w:rsidP="006F1B7A">
            <w:pPr>
              <w:rPr>
                <w:sz w:val="20"/>
                <w:szCs w:val="20"/>
                <w:u w:val="single"/>
                <w:lang w:eastAsia="en-CA"/>
              </w:rPr>
            </w:pPr>
            <w:proofErr w:type="gramStart"/>
            <w:r w:rsidRPr="006B1C5D">
              <w:rPr>
                <w:sz w:val="20"/>
                <w:szCs w:val="20"/>
                <w:u w:val="single"/>
                <w:lang w:eastAsia="en-CA"/>
              </w:rPr>
              <w:t>$  100,000</w:t>
            </w:r>
            <w:proofErr w:type="gramEnd"/>
          </w:p>
        </w:tc>
        <w:tc>
          <w:tcPr>
            <w:tcW w:w="0" w:type="auto"/>
            <w:vAlign w:val="center"/>
          </w:tcPr>
          <w:p w14:paraId="2A86DA0D" w14:textId="77777777" w:rsidR="006B1C5D" w:rsidRPr="006B1C5D" w:rsidRDefault="006B1C5D" w:rsidP="006F1B7A">
            <w:pPr>
              <w:ind w:left="925"/>
              <w:rPr>
                <w:sz w:val="20"/>
                <w:szCs w:val="20"/>
                <w:u w:val="single"/>
                <w:lang w:eastAsia="en-CA"/>
              </w:rPr>
            </w:pPr>
            <w:proofErr w:type="gramStart"/>
            <w:r w:rsidRPr="006B1C5D">
              <w:rPr>
                <w:sz w:val="20"/>
                <w:szCs w:val="20"/>
                <w:u w:val="single"/>
                <w:lang w:eastAsia="en-CA"/>
              </w:rPr>
              <w:t>$  100,000</w:t>
            </w:r>
            <w:proofErr w:type="gramEnd"/>
            <w:r w:rsidRPr="006B1C5D">
              <w:rPr>
                <w:sz w:val="20"/>
                <w:szCs w:val="20"/>
                <w:u w:val="single"/>
                <w:lang w:eastAsia="en-CA"/>
              </w:rPr>
              <w:t xml:space="preserve"> </w:t>
            </w:r>
          </w:p>
        </w:tc>
        <w:tc>
          <w:tcPr>
            <w:tcW w:w="2891" w:type="dxa"/>
            <w:vAlign w:val="center"/>
          </w:tcPr>
          <w:p w14:paraId="1267F7F9" w14:textId="77777777" w:rsidR="006B1C5D" w:rsidRPr="006B1C5D" w:rsidRDefault="006B1C5D" w:rsidP="006F1B7A">
            <w:pPr>
              <w:rPr>
                <w:sz w:val="20"/>
                <w:szCs w:val="20"/>
                <w:u w:val="single"/>
                <w:lang w:eastAsia="en-CA"/>
              </w:rPr>
            </w:pPr>
            <w:r w:rsidRPr="006B1C5D">
              <w:rPr>
                <w:sz w:val="20"/>
                <w:szCs w:val="20"/>
                <w:lang w:eastAsia="en-CA"/>
              </w:rPr>
              <w:t xml:space="preserve">                    </w:t>
            </w:r>
            <w:r w:rsidRPr="006B1C5D">
              <w:rPr>
                <w:sz w:val="20"/>
                <w:szCs w:val="20"/>
                <w:u w:val="single"/>
                <w:lang w:eastAsia="en-CA"/>
              </w:rPr>
              <w:t>$    100,000</w:t>
            </w:r>
          </w:p>
        </w:tc>
      </w:tr>
      <w:tr w:rsidR="006B1C5D" w:rsidRPr="006B1C5D" w14:paraId="287DD6B8" w14:textId="77777777" w:rsidTr="006F1B7A">
        <w:trPr>
          <w:tblCellSpacing w:w="15" w:type="dxa"/>
        </w:trPr>
        <w:tc>
          <w:tcPr>
            <w:tcW w:w="2700" w:type="dxa"/>
            <w:vAlign w:val="center"/>
          </w:tcPr>
          <w:p w14:paraId="65A7558E" w14:textId="77777777" w:rsidR="006B1C5D" w:rsidRPr="006B1C5D" w:rsidRDefault="006B1C5D" w:rsidP="006F1B7A">
            <w:pPr>
              <w:rPr>
                <w:b/>
                <w:bCs/>
                <w:sz w:val="20"/>
                <w:szCs w:val="20"/>
                <w:lang w:eastAsia="en-CA"/>
              </w:rPr>
            </w:pPr>
            <w:r w:rsidRPr="006B1C5D">
              <w:rPr>
                <w:b/>
                <w:bCs/>
                <w:sz w:val="20"/>
                <w:szCs w:val="20"/>
                <w:lang w:eastAsia="en-CA"/>
              </w:rPr>
              <w:t xml:space="preserve">Remaining Cash </w:t>
            </w:r>
          </w:p>
        </w:tc>
        <w:tc>
          <w:tcPr>
            <w:tcW w:w="874" w:type="dxa"/>
            <w:vAlign w:val="center"/>
          </w:tcPr>
          <w:p w14:paraId="5F8A2291" w14:textId="77777777" w:rsidR="006B1C5D" w:rsidRPr="006B1C5D" w:rsidRDefault="006B1C5D" w:rsidP="006F1B7A">
            <w:pPr>
              <w:rPr>
                <w:b/>
                <w:bCs/>
                <w:sz w:val="20"/>
                <w:szCs w:val="20"/>
                <w:lang w:eastAsia="en-CA"/>
              </w:rPr>
            </w:pPr>
            <w:r w:rsidRPr="006B1C5D">
              <w:rPr>
                <w:b/>
                <w:bCs/>
                <w:sz w:val="20"/>
                <w:szCs w:val="20"/>
                <w:lang w:eastAsia="en-CA"/>
              </w:rPr>
              <w:t>$    17,616</w:t>
            </w:r>
          </w:p>
        </w:tc>
        <w:tc>
          <w:tcPr>
            <w:tcW w:w="0" w:type="auto"/>
            <w:vAlign w:val="center"/>
          </w:tcPr>
          <w:p w14:paraId="515D09CA" w14:textId="77777777" w:rsidR="006B1C5D" w:rsidRPr="006B1C5D" w:rsidRDefault="006B1C5D" w:rsidP="006F1B7A">
            <w:pPr>
              <w:ind w:left="925"/>
              <w:rPr>
                <w:b/>
                <w:bCs/>
                <w:sz w:val="20"/>
                <w:szCs w:val="20"/>
                <w:lang w:eastAsia="en-CA"/>
              </w:rPr>
            </w:pPr>
            <w:r w:rsidRPr="006B1C5D">
              <w:rPr>
                <w:b/>
                <w:bCs/>
                <w:sz w:val="20"/>
                <w:szCs w:val="20"/>
                <w:lang w:eastAsia="en-CA"/>
              </w:rPr>
              <w:t>$    29,500</w:t>
            </w:r>
          </w:p>
        </w:tc>
        <w:tc>
          <w:tcPr>
            <w:tcW w:w="2891" w:type="dxa"/>
            <w:vAlign w:val="center"/>
          </w:tcPr>
          <w:p w14:paraId="794D608C" w14:textId="77777777" w:rsidR="006B1C5D" w:rsidRPr="006B1C5D" w:rsidRDefault="006B1C5D" w:rsidP="006F1B7A">
            <w:pPr>
              <w:rPr>
                <w:b/>
                <w:bCs/>
                <w:sz w:val="20"/>
                <w:szCs w:val="20"/>
                <w:lang w:eastAsia="en-CA"/>
              </w:rPr>
            </w:pPr>
            <w:r w:rsidRPr="006B1C5D">
              <w:rPr>
                <w:b/>
                <w:bCs/>
                <w:sz w:val="20"/>
                <w:szCs w:val="20"/>
                <w:lang w:eastAsia="en-CA"/>
              </w:rPr>
              <w:t xml:space="preserve">                    $      41,476</w:t>
            </w:r>
          </w:p>
        </w:tc>
      </w:tr>
    </w:tbl>
    <w:p w14:paraId="7EA30E0F" w14:textId="77777777" w:rsidR="006B1C5D" w:rsidRPr="00B54A3D" w:rsidRDefault="006B1C5D" w:rsidP="006B1C5D">
      <w:pPr>
        <w:spacing w:before="100" w:beforeAutospacing="1" w:after="100" w:afterAutospacing="1"/>
        <w:jc w:val="center"/>
        <w:outlineLvl w:val="1"/>
        <w:rPr>
          <w:b/>
          <w:bCs/>
          <w:sz w:val="36"/>
          <w:szCs w:val="36"/>
          <w:lang w:eastAsia="en-CA"/>
        </w:rPr>
      </w:pPr>
      <w:r>
        <w:rPr>
          <w:b/>
          <w:bCs/>
          <w:sz w:val="36"/>
          <w:szCs w:val="36"/>
          <w:lang w:eastAsia="en-CA"/>
        </w:rPr>
        <w:br w:type="page"/>
      </w:r>
      <w:bookmarkStart w:id="0" w:name="_Hlk215048906"/>
      <w:r>
        <w:rPr>
          <w:b/>
          <w:bCs/>
          <w:sz w:val="36"/>
          <w:szCs w:val="36"/>
          <w:lang w:eastAsia="en-CA"/>
        </w:rPr>
        <w:lastRenderedPageBreak/>
        <w:t>Actual Financial Results for the CAMOKO Restaurant Franchise System for Pre-COVID Years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5"/>
        <w:gridCol w:w="960"/>
        <w:gridCol w:w="1885"/>
        <w:gridCol w:w="2936"/>
      </w:tblGrid>
      <w:tr w:rsidR="006B1C5D" w:rsidRPr="006B1C5D" w14:paraId="5722E67F" w14:textId="77777777" w:rsidTr="006F1B7A">
        <w:trPr>
          <w:tblHeader/>
          <w:tblCellSpacing w:w="15" w:type="dxa"/>
        </w:trPr>
        <w:tc>
          <w:tcPr>
            <w:tcW w:w="2700" w:type="dxa"/>
            <w:vAlign w:val="center"/>
            <w:hideMark/>
          </w:tcPr>
          <w:p w14:paraId="505F3EA6" w14:textId="77777777" w:rsidR="006B1C5D" w:rsidRPr="006B1C5D" w:rsidRDefault="006B1C5D" w:rsidP="006F1B7A">
            <w:pPr>
              <w:jc w:val="center"/>
              <w:rPr>
                <w:b/>
                <w:bCs/>
                <w:sz w:val="20"/>
                <w:szCs w:val="20"/>
                <w:lang w:eastAsia="en-CA"/>
              </w:rPr>
            </w:pPr>
          </w:p>
        </w:tc>
        <w:tc>
          <w:tcPr>
            <w:tcW w:w="874" w:type="dxa"/>
            <w:vAlign w:val="center"/>
            <w:hideMark/>
          </w:tcPr>
          <w:p w14:paraId="70F3410A" w14:textId="77777777" w:rsidR="006B1C5D" w:rsidRPr="006B1C5D" w:rsidRDefault="006B1C5D" w:rsidP="006F1B7A">
            <w:pPr>
              <w:jc w:val="center"/>
              <w:rPr>
                <w:b/>
                <w:bCs/>
                <w:sz w:val="20"/>
                <w:szCs w:val="20"/>
                <w:u w:val="single"/>
                <w:lang w:eastAsia="en-CA"/>
              </w:rPr>
            </w:pPr>
            <w:r w:rsidRPr="006B1C5D">
              <w:rPr>
                <w:b/>
                <w:bCs/>
                <w:sz w:val="20"/>
                <w:szCs w:val="20"/>
                <w:u w:val="single"/>
                <w:lang w:eastAsia="en-CA"/>
              </w:rPr>
              <w:t>Year 1</w:t>
            </w:r>
          </w:p>
        </w:tc>
        <w:tc>
          <w:tcPr>
            <w:tcW w:w="0" w:type="auto"/>
            <w:vAlign w:val="center"/>
            <w:hideMark/>
          </w:tcPr>
          <w:p w14:paraId="3F131B90" w14:textId="77777777" w:rsidR="006B1C5D" w:rsidRPr="006B1C5D" w:rsidRDefault="006B1C5D" w:rsidP="006F1B7A">
            <w:pPr>
              <w:ind w:left="925"/>
              <w:jc w:val="center"/>
              <w:rPr>
                <w:b/>
                <w:bCs/>
                <w:sz w:val="20"/>
                <w:szCs w:val="20"/>
                <w:u w:val="single"/>
                <w:lang w:eastAsia="en-CA"/>
              </w:rPr>
            </w:pPr>
            <w:r w:rsidRPr="006B1C5D">
              <w:rPr>
                <w:b/>
                <w:bCs/>
                <w:sz w:val="20"/>
                <w:szCs w:val="20"/>
                <w:u w:val="single"/>
                <w:lang w:eastAsia="en-CA"/>
              </w:rPr>
              <w:t>Year 2</w:t>
            </w:r>
          </w:p>
        </w:tc>
        <w:tc>
          <w:tcPr>
            <w:tcW w:w="2891" w:type="dxa"/>
            <w:vAlign w:val="center"/>
            <w:hideMark/>
          </w:tcPr>
          <w:p w14:paraId="5B1531C3" w14:textId="77777777" w:rsidR="006B1C5D" w:rsidRPr="006B1C5D" w:rsidRDefault="006B1C5D" w:rsidP="006F1B7A">
            <w:pPr>
              <w:ind w:left="1440"/>
              <w:rPr>
                <w:b/>
                <w:bCs/>
                <w:sz w:val="20"/>
                <w:szCs w:val="20"/>
                <w:u w:val="single"/>
                <w:lang w:eastAsia="en-CA"/>
              </w:rPr>
            </w:pPr>
            <w:r w:rsidRPr="006B1C5D">
              <w:rPr>
                <w:b/>
                <w:bCs/>
                <w:sz w:val="20"/>
                <w:szCs w:val="20"/>
                <w:u w:val="single"/>
                <w:lang w:eastAsia="en-CA"/>
              </w:rPr>
              <w:t>Year 3</w:t>
            </w:r>
          </w:p>
        </w:tc>
      </w:tr>
      <w:tr w:rsidR="006B1C5D" w:rsidRPr="006B1C5D" w14:paraId="17897986" w14:textId="77777777" w:rsidTr="006F1B7A">
        <w:trPr>
          <w:tblCellSpacing w:w="15" w:type="dxa"/>
        </w:trPr>
        <w:tc>
          <w:tcPr>
            <w:tcW w:w="2700" w:type="dxa"/>
            <w:vAlign w:val="center"/>
            <w:hideMark/>
          </w:tcPr>
          <w:p w14:paraId="70F17C1D" w14:textId="77777777" w:rsidR="006B1C5D" w:rsidRPr="006B1C5D" w:rsidRDefault="006B1C5D" w:rsidP="006F1B7A">
            <w:pPr>
              <w:rPr>
                <w:sz w:val="20"/>
                <w:szCs w:val="20"/>
                <w:lang w:eastAsia="en-CA"/>
              </w:rPr>
            </w:pPr>
            <w:r w:rsidRPr="006B1C5D">
              <w:rPr>
                <w:b/>
                <w:bCs/>
                <w:sz w:val="20"/>
                <w:szCs w:val="20"/>
                <w:lang w:eastAsia="en-CA"/>
              </w:rPr>
              <w:t>Gross Revenues</w:t>
            </w:r>
          </w:p>
        </w:tc>
        <w:tc>
          <w:tcPr>
            <w:tcW w:w="874" w:type="dxa"/>
            <w:vAlign w:val="center"/>
            <w:hideMark/>
          </w:tcPr>
          <w:p w14:paraId="7B33468A" w14:textId="77777777" w:rsidR="006B1C5D" w:rsidRPr="006B1C5D" w:rsidRDefault="006B1C5D" w:rsidP="006F1B7A">
            <w:pPr>
              <w:rPr>
                <w:sz w:val="20"/>
                <w:szCs w:val="20"/>
                <w:lang w:eastAsia="en-CA"/>
              </w:rPr>
            </w:pPr>
            <w:r w:rsidRPr="006B1C5D">
              <w:rPr>
                <w:sz w:val="20"/>
                <w:szCs w:val="20"/>
                <w:lang w:eastAsia="en-CA"/>
              </w:rPr>
              <w:t>$1,296,000</w:t>
            </w:r>
          </w:p>
        </w:tc>
        <w:tc>
          <w:tcPr>
            <w:tcW w:w="0" w:type="auto"/>
            <w:vAlign w:val="center"/>
            <w:hideMark/>
          </w:tcPr>
          <w:p w14:paraId="79260C72" w14:textId="77777777" w:rsidR="006B1C5D" w:rsidRPr="006B1C5D" w:rsidRDefault="006B1C5D" w:rsidP="006F1B7A">
            <w:pPr>
              <w:ind w:left="925"/>
              <w:rPr>
                <w:sz w:val="20"/>
                <w:szCs w:val="20"/>
                <w:lang w:eastAsia="en-CA"/>
              </w:rPr>
            </w:pPr>
            <w:r w:rsidRPr="006B1C5D">
              <w:rPr>
                <w:sz w:val="20"/>
                <w:szCs w:val="20"/>
                <w:lang w:eastAsia="en-CA"/>
              </w:rPr>
              <w:t>$1,360,800</w:t>
            </w:r>
          </w:p>
        </w:tc>
        <w:tc>
          <w:tcPr>
            <w:tcW w:w="2891" w:type="dxa"/>
            <w:vAlign w:val="center"/>
            <w:hideMark/>
          </w:tcPr>
          <w:p w14:paraId="43B87C68" w14:textId="77777777" w:rsidR="006B1C5D" w:rsidRPr="006B1C5D" w:rsidRDefault="006B1C5D" w:rsidP="006F1B7A">
            <w:pPr>
              <w:ind w:left="1202"/>
              <w:rPr>
                <w:sz w:val="20"/>
                <w:szCs w:val="20"/>
                <w:lang w:eastAsia="en-CA"/>
              </w:rPr>
            </w:pPr>
            <w:r w:rsidRPr="006B1C5D">
              <w:rPr>
                <w:sz w:val="20"/>
                <w:szCs w:val="20"/>
                <w:lang w:eastAsia="en-CA"/>
              </w:rPr>
              <w:t>$1,428,840</w:t>
            </w:r>
          </w:p>
        </w:tc>
      </w:tr>
      <w:tr w:rsidR="006B1C5D" w:rsidRPr="006B1C5D" w14:paraId="184ED9D4" w14:textId="77777777" w:rsidTr="006F1B7A">
        <w:trPr>
          <w:tblCellSpacing w:w="15" w:type="dxa"/>
        </w:trPr>
        <w:tc>
          <w:tcPr>
            <w:tcW w:w="2700" w:type="dxa"/>
            <w:vAlign w:val="center"/>
            <w:hideMark/>
          </w:tcPr>
          <w:p w14:paraId="1007D80F" w14:textId="77777777" w:rsidR="006B1C5D" w:rsidRPr="006B1C5D" w:rsidRDefault="006B1C5D" w:rsidP="006F1B7A">
            <w:pPr>
              <w:rPr>
                <w:sz w:val="20"/>
                <w:szCs w:val="20"/>
                <w:lang w:eastAsia="en-CA"/>
              </w:rPr>
            </w:pPr>
            <w:r w:rsidRPr="006B1C5D">
              <w:rPr>
                <w:sz w:val="20"/>
                <w:szCs w:val="20"/>
                <w:lang w:eastAsia="en-CA"/>
              </w:rPr>
              <w:t>COGS (35%)</w:t>
            </w:r>
          </w:p>
        </w:tc>
        <w:tc>
          <w:tcPr>
            <w:tcW w:w="874" w:type="dxa"/>
            <w:vAlign w:val="center"/>
            <w:hideMark/>
          </w:tcPr>
          <w:p w14:paraId="17F86AC7" w14:textId="77777777" w:rsidR="006B1C5D" w:rsidRPr="006B1C5D" w:rsidRDefault="006B1C5D" w:rsidP="006F1B7A">
            <w:pPr>
              <w:rPr>
                <w:sz w:val="20"/>
                <w:szCs w:val="20"/>
                <w:u w:val="single"/>
                <w:lang w:eastAsia="en-CA"/>
              </w:rPr>
            </w:pPr>
            <w:r w:rsidRPr="006B1C5D">
              <w:rPr>
                <w:sz w:val="20"/>
                <w:szCs w:val="20"/>
                <w:u w:val="single"/>
                <w:lang w:eastAsia="en-CA"/>
              </w:rPr>
              <w:t>$   453,600</w:t>
            </w:r>
          </w:p>
        </w:tc>
        <w:tc>
          <w:tcPr>
            <w:tcW w:w="0" w:type="auto"/>
            <w:vAlign w:val="center"/>
            <w:hideMark/>
          </w:tcPr>
          <w:p w14:paraId="30251808" w14:textId="77777777" w:rsidR="006B1C5D" w:rsidRPr="006B1C5D" w:rsidRDefault="006B1C5D" w:rsidP="006F1B7A">
            <w:pPr>
              <w:ind w:left="925"/>
              <w:rPr>
                <w:sz w:val="20"/>
                <w:szCs w:val="20"/>
                <w:u w:val="single"/>
                <w:lang w:eastAsia="en-CA"/>
              </w:rPr>
            </w:pPr>
            <w:r w:rsidRPr="006B1C5D">
              <w:rPr>
                <w:sz w:val="20"/>
                <w:szCs w:val="20"/>
                <w:u w:val="single"/>
                <w:lang w:eastAsia="en-CA"/>
              </w:rPr>
              <w:t>$   476,280</w:t>
            </w:r>
          </w:p>
        </w:tc>
        <w:tc>
          <w:tcPr>
            <w:tcW w:w="2891" w:type="dxa"/>
            <w:vAlign w:val="center"/>
            <w:hideMark/>
          </w:tcPr>
          <w:p w14:paraId="1A17A62D" w14:textId="77777777" w:rsidR="006B1C5D" w:rsidRPr="006B1C5D" w:rsidRDefault="006B1C5D" w:rsidP="006F1B7A">
            <w:pPr>
              <w:ind w:left="1202"/>
              <w:rPr>
                <w:sz w:val="20"/>
                <w:szCs w:val="20"/>
                <w:u w:val="single"/>
                <w:lang w:eastAsia="en-CA"/>
              </w:rPr>
            </w:pPr>
            <w:r w:rsidRPr="006B1C5D">
              <w:rPr>
                <w:sz w:val="20"/>
                <w:szCs w:val="20"/>
                <w:u w:val="single"/>
                <w:lang w:eastAsia="en-CA"/>
              </w:rPr>
              <w:t>$   500,094</w:t>
            </w:r>
          </w:p>
        </w:tc>
      </w:tr>
      <w:tr w:rsidR="006B1C5D" w:rsidRPr="006B1C5D" w14:paraId="4A292FE1" w14:textId="77777777" w:rsidTr="006F1B7A">
        <w:trPr>
          <w:tblCellSpacing w:w="15" w:type="dxa"/>
        </w:trPr>
        <w:tc>
          <w:tcPr>
            <w:tcW w:w="2700" w:type="dxa"/>
            <w:vAlign w:val="center"/>
            <w:hideMark/>
          </w:tcPr>
          <w:p w14:paraId="24074673" w14:textId="77777777" w:rsidR="006B1C5D" w:rsidRPr="006B1C5D" w:rsidRDefault="006B1C5D" w:rsidP="006F1B7A">
            <w:pPr>
              <w:rPr>
                <w:sz w:val="20"/>
                <w:szCs w:val="20"/>
                <w:lang w:eastAsia="en-CA"/>
              </w:rPr>
            </w:pPr>
            <w:r w:rsidRPr="006B1C5D">
              <w:rPr>
                <w:b/>
                <w:bCs/>
                <w:sz w:val="20"/>
                <w:szCs w:val="20"/>
                <w:lang w:eastAsia="en-CA"/>
              </w:rPr>
              <w:t>Gross Profit</w:t>
            </w:r>
          </w:p>
        </w:tc>
        <w:tc>
          <w:tcPr>
            <w:tcW w:w="874" w:type="dxa"/>
            <w:vAlign w:val="center"/>
            <w:hideMark/>
          </w:tcPr>
          <w:p w14:paraId="4626789A" w14:textId="77777777" w:rsidR="006B1C5D" w:rsidRPr="006B1C5D" w:rsidRDefault="006B1C5D" w:rsidP="006F1B7A">
            <w:pPr>
              <w:rPr>
                <w:b/>
                <w:bCs/>
                <w:sz w:val="20"/>
                <w:szCs w:val="20"/>
                <w:lang w:eastAsia="en-CA"/>
              </w:rPr>
            </w:pPr>
            <w:r w:rsidRPr="006B1C5D">
              <w:rPr>
                <w:b/>
                <w:bCs/>
                <w:sz w:val="20"/>
                <w:szCs w:val="20"/>
                <w:lang w:eastAsia="en-CA"/>
              </w:rPr>
              <w:t>$   842,400</w:t>
            </w:r>
          </w:p>
        </w:tc>
        <w:tc>
          <w:tcPr>
            <w:tcW w:w="0" w:type="auto"/>
            <w:vAlign w:val="center"/>
            <w:hideMark/>
          </w:tcPr>
          <w:p w14:paraId="4CED8915" w14:textId="77777777" w:rsidR="006B1C5D" w:rsidRPr="006B1C5D" w:rsidRDefault="006B1C5D" w:rsidP="006F1B7A">
            <w:pPr>
              <w:ind w:left="925"/>
              <w:rPr>
                <w:b/>
                <w:bCs/>
                <w:sz w:val="20"/>
                <w:szCs w:val="20"/>
                <w:lang w:eastAsia="en-CA"/>
              </w:rPr>
            </w:pPr>
            <w:r w:rsidRPr="006B1C5D">
              <w:rPr>
                <w:b/>
                <w:bCs/>
                <w:sz w:val="20"/>
                <w:szCs w:val="20"/>
                <w:lang w:eastAsia="en-CA"/>
              </w:rPr>
              <w:t>$   884,520</w:t>
            </w:r>
          </w:p>
        </w:tc>
        <w:tc>
          <w:tcPr>
            <w:tcW w:w="2891" w:type="dxa"/>
            <w:vAlign w:val="center"/>
            <w:hideMark/>
          </w:tcPr>
          <w:p w14:paraId="4FB0BC00" w14:textId="77777777" w:rsidR="006B1C5D" w:rsidRPr="006B1C5D" w:rsidRDefault="006B1C5D" w:rsidP="006F1B7A">
            <w:pPr>
              <w:ind w:left="1202"/>
              <w:rPr>
                <w:b/>
                <w:bCs/>
                <w:sz w:val="20"/>
                <w:szCs w:val="20"/>
                <w:lang w:eastAsia="en-CA"/>
              </w:rPr>
            </w:pPr>
            <w:r w:rsidRPr="006B1C5D">
              <w:rPr>
                <w:b/>
                <w:bCs/>
                <w:sz w:val="20"/>
                <w:szCs w:val="20"/>
                <w:lang w:eastAsia="en-CA"/>
              </w:rPr>
              <w:t>$   928,746</w:t>
            </w:r>
          </w:p>
        </w:tc>
      </w:tr>
      <w:tr w:rsidR="006B1C5D" w:rsidRPr="006B1C5D" w14:paraId="71E6E695" w14:textId="77777777" w:rsidTr="006F1B7A">
        <w:trPr>
          <w:tblCellSpacing w:w="15" w:type="dxa"/>
        </w:trPr>
        <w:tc>
          <w:tcPr>
            <w:tcW w:w="2700" w:type="dxa"/>
            <w:vAlign w:val="center"/>
            <w:hideMark/>
          </w:tcPr>
          <w:p w14:paraId="291EA973" w14:textId="77777777" w:rsidR="006B1C5D" w:rsidRPr="006B1C5D" w:rsidRDefault="006B1C5D" w:rsidP="006F1B7A">
            <w:pPr>
              <w:rPr>
                <w:sz w:val="20"/>
                <w:szCs w:val="20"/>
                <w:lang w:eastAsia="en-CA"/>
              </w:rPr>
            </w:pPr>
            <w:r w:rsidRPr="006B1C5D">
              <w:rPr>
                <w:sz w:val="20"/>
                <w:szCs w:val="20"/>
                <w:lang w:eastAsia="en-CA"/>
              </w:rPr>
              <w:t>Labour (25%)</w:t>
            </w:r>
          </w:p>
        </w:tc>
        <w:tc>
          <w:tcPr>
            <w:tcW w:w="874" w:type="dxa"/>
            <w:vAlign w:val="center"/>
            <w:hideMark/>
          </w:tcPr>
          <w:p w14:paraId="18576B09" w14:textId="77777777" w:rsidR="006B1C5D" w:rsidRPr="006B1C5D" w:rsidRDefault="006B1C5D" w:rsidP="006F1B7A">
            <w:pPr>
              <w:rPr>
                <w:sz w:val="20"/>
                <w:szCs w:val="20"/>
                <w:lang w:eastAsia="en-CA"/>
              </w:rPr>
            </w:pPr>
            <w:r w:rsidRPr="006B1C5D">
              <w:rPr>
                <w:sz w:val="20"/>
                <w:szCs w:val="20"/>
                <w:lang w:eastAsia="en-CA"/>
              </w:rPr>
              <w:t>$   324,000</w:t>
            </w:r>
          </w:p>
        </w:tc>
        <w:tc>
          <w:tcPr>
            <w:tcW w:w="0" w:type="auto"/>
            <w:vAlign w:val="center"/>
            <w:hideMark/>
          </w:tcPr>
          <w:p w14:paraId="6CB1EBF8" w14:textId="77777777" w:rsidR="006B1C5D" w:rsidRPr="006B1C5D" w:rsidRDefault="006B1C5D" w:rsidP="006F1B7A">
            <w:pPr>
              <w:ind w:left="925"/>
              <w:rPr>
                <w:sz w:val="20"/>
                <w:szCs w:val="20"/>
                <w:lang w:eastAsia="en-CA"/>
              </w:rPr>
            </w:pPr>
            <w:r w:rsidRPr="006B1C5D">
              <w:rPr>
                <w:sz w:val="20"/>
                <w:szCs w:val="20"/>
                <w:lang w:eastAsia="en-CA"/>
              </w:rPr>
              <w:t>$   340,200</w:t>
            </w:r>
          </w:p>
        </w:tc>
        <w:tc>
          <w:tcPr>
            <w:tcW w:w="2891" w:type="dxa"/>
            <w:vAlign w:val="center"/>
            <w:hideMark/>
          </w:tcPr>
          <w:p w14:paraId="00B66FAD" w14:textId="77777777" w:rsidR="006B1C5D" w:rsidRPr="006B1C5D" w:rsidRDefault="006B1C5D" w:rsidP="006F1B7A">
            <w:pPr>
              <w:ind w:left="1202"/>
              <w:rPr>
                <w:sz w:val="20"/>
                <w:szCs w:val="20"/>
                <w:lang w:eastAsia="en-CA"/>
              </w:rPr>
            </w:pPr>
            <w:r w:rsidRPr="006B1C5D">
              <w:rPr>
                <w:sz w:val="20"/>
                <w:szCs w:val="20"/>
                <w:lang w:eastAsia="en-CA"/>
              </w:rPr>
              <w:t>$   357,210</w:t>
            </w:r>
          </w:p>
        </w:tc>
      </w:tr>
      <w:tr w:rsidR="006B1C5D" w:rsidRPr="006B1C5D" w14:paraId="4845FDFA" w14:textId="77777777" w:rsidTr="006F1B7A">
        <w:trPr>
          <w:tblCellSpacing w:w="15" w:type="dxa"/>
        </w:trPr>
        <w:tc>
          <w:tcPr>
            <w:tcW w:w="2700" w:type="dxa"/>
            <w:vAlign w:val="center"/>
            <w:hideMark/>
          </w:tcPr>
          <w:p w14:paraId="4228DED0" w14:textId="77777777" w:rsidR="006B1C5D" w:rsidRPr="006B1C5D" w:rsidRDefault="006B1C5D" w:rsidP="006F1B7A">
            <w:pPr>
              <w:rPr>
                <w:sz w:val="20"/>
                <w:szCs w:val="20"/>
                <w:lang w:eastAsia="en-CA"/>
              </w:rPr>
            </w:pPr>
            <w:r w:rsidRPr="006B1C5D">
              <w:rPr>
                <w:sz w:val="20"/>
                <w:szCs w:val="20"/>
                <w:lang w:eastAsia="en-CA"/>
              </w:rPr>
              <w:t>Occupancy Costs</w:t>
            </w:r>
          </w:p>
        </w:tc>
        <w:tc>
          <w:tcPr>
            <w:tcW w:w="874" w:type="dxa"/>
            <w:vAlign w:val="center"/>
            <w:hideMark/>
          </w:tcPr>
          <w:p w14:paraId="34F89A2B" w14:textId="77777777" w:rsidR="006B1C5D" w:rsidRPr="006B1C5D" w:rsidRDefault="006B1C5D" w:rsidP="006F1B7A">
            <w:pPr>
              <w:rPr>
                <w:sz w:val="20"/>
                <w:szCs w:val="20"/>
                <w:lang w:eastAsia="en-CA"/>
              </w:rPr>
            </w:pPr>
            <w:r w:rsidRPr="006B1C5D">
              <w:rPr>
                <w:sz w:val="20"/>
                <w:szCs w:val="20"/>
                <w:lang w:eastAsia="en-CA"/>
              </w:rPr>
              <w:t>$   120,000</w:t>
            </w:r>
          </w:p>
        </w:tc>
        <w:tc>
          <w:tcPr>
            <w:tcW w:w="0" w:type="auto"/>
            <w:vAlign w:val="center"/>
            <w:hideMark/>
          </w:tcPr>
          <w:p w14:paraId="403F3DD6" w14:textId="77777777" w:rsidR="006B1C5D" w:rsidRPr="006B1C5D" w:rsidRDefault="006B1C5D" w:rsidP="006F1B7A">
            <w:pPr>
              <w:ind w:left="925"/>
              <w:rPr>
                <w:sz w:val="20"/>
                <w:szCs w:val="20"/>
                <w:lang w:eastAsia="en-CA"/>
              </w:rPr>
            </w:pPr>
            <w:r w:rsidRPr="006B1C5D">
              <w:rPr>
                <w:sz w:val="20"/>
                <w:szCs w:val="20"/>
                <w:lang w:eastAsia="en-CA"/>
              </w:rPr>
              <w:t>$   120,000</w:t>
            </w:r>
          </w:p>
        </w:tc>
        <w:tc>
          <w:tcPr>
            <w:tcW w:w="2891" w:type="dxa"/>
            <w:vAlign w:val="center"/>
            <w:hideMark/>
          </w:tcPr>
          <w:p w14:paraId="553408E4" w14:textId="77777777" w:rsidR="006B1C5D" w:rsidRPr="006B1C5D" w:rsidRDefault="006B1C5D" w:rsidP="006F1B7A">
            <w:pPr>
              <w:ind w:left="1202"/>
              <w:rPr>
                <w:sz w:val="20"/>
                <w:szCs w:val="20"/>
                <w:lang w:eastAsia="en-CA"/>
              </w:rPr>
            </w:pPr>
            <w:r w:rsidRPr="006B1C5D">
              <w:rPr>
                <w:sz w:val="20"/>
                <w:szCs w:val="20"/>
                <w:lang w:eastAsia="en-CA"/>
              </w:rPr>
              <w:t>$   120,000</w:t>
            </w:r>
          </w:p>
        </w:tc>
      </w:tr>
      <w:tr w:rsidR="006B1C5D" w:rsidRPr="006B1C5D" w14:paraId="3B6602DA" w14:textId="77777777" w:rsidTr="006F1B7A">
        <w:trPr>
          <w:tblCellSpacing w:w="15" w:type="dxa"/>
        </w:trPr>
        <w:tc>
          <w:tcPr>
            <w:tcW w:w="2700" w:type="dxa"/>
            <w:vAlign w:val="center"/>
            <w:hideMark/>
          </w:tcPr>
          <w:p w14:paraId="402D2FEB" w14:textId="77777777" w:rsidR="006B1C5D" w:rsidRPr="006B1C5D" w:rsidRDefault="006B1C5D" w:rsidP="006F1B7A">
            <w:pPr>
              <w:rPr>
                <w:sz w:val="20"/>
                <w:szCs w:val="20"/>
                <w:lang w:eastAsia="en-CA"/>
              </w:rPr>
            </w:pPr>
            <w:r w:rsidRPr="006B1C5D">
              <w:rPr>
                <w:sz w:val="20"/>
                <w:szCs w:val="20"/>
                <w:lang w:eastAsia="en-CA"/>
              </w:rPr>
              <w:t>Marketing (3%)</w:t>
            </w:r>
          </w:p>
        </w:tc>
        <w:tc>
          <w:tcPr>
            <w:tcW w:w="874" w:type="dxa"/>
            <w:vAlign w:val="center"/>
            <w:hideMark/>
          </w:tcPr>
          <w:p w14:paraId="20942AE2" w14:textId="77777777" w:rsidR="006B1C5D" w:rsidRPr="006B1C5D" w:rsidRDefault="006B1C5D" w:rsidP="006F1B7A">
            <w:pPr>
              <w:rPr>
                <w:sz w:val="20"/>
                <w:szCs w:val="20"/>
                <w:lang w:eastAsia="en-CA"/>
              </w:rPr>
            </w:pPr>
            <w:r w:rsidRPr="006B1C5D">
              <w:rPr>
                <w:sz w:val="20"/>
                <w:szCs w:val="20"/>
                <w:lang w:eastAsia="en-CA"/>
              </w:rPr>
              <w:t>$     38,880</w:t>
            </w:r>
          </w:p>
        </w:tc>
        <w:tc>
          <w:tcPr>
            <w:tcW w:w="0" w:type="auto"/>
            <w:vAlign w:val="center"/>
            <w:hideMark/>
          </w:tcPr>
          <w:p w14:paraId="6F3DD1C7" w14:textId="77777777" w:rsidR="006B1C5D" w:rsidRPr="006B1C5D" w:rsidRDefault="006B1C5D" w:rsidP="006F1B7A">
            <w:pPr>
              <w:ind w:left="925"/>
              <w:rPr>
                <w:sz w:val="20"/>
                <w:szCs w:val="20"/>
                <w:lang w:eastAsia="en-CA"/>
              </w:rPr>
            </w:pPr>
            <w:r w:rsidRPr="006B1C5D">
              <w:rPr>
                <w:sz w:val="20"/>
                <w:szCs w:val="20"/>
                <w:lang w:eastAsia="en-CA"/>
              </w:rPr>
              <w:t>$     40,824</w:t>
            </w:r>
          </w:p>
        </w:tc>
        <w:tc>
          <w:tcPr>
            <w:tcW w:w="2891" w:type="dxa"/>
            <w:vAlign w:val="center"/>
            <w:hideMark/>
          </w:tcPr>
          <w:p w14:paraId="31A5A98B" w14:textId="77777777" w:rsidR="006B1C5D" w:rsidRPr="006B1C5D" w:rsidRDefault="006B1C5D" w:rsidP="006F1B7A">
            <w:pPr>
              <w:ind w:left="1202"/>
              <w:rPr>
                <w:sz w:val="20"/>
                <w:szCs w:val="20"/>
                <w:lang w:eastAsia="en-CA"/>
              </w:rPr>
            </w:pPr>
            <w:r w:rsidRPr="006B1C5D">
              <w:rPr>
                <w:sz w:val="20"/>
                <w:szCs w:val="20"/>
                <w:lang w:eastAsia="en-CA"/>
              </w:rPr>
              <w:t>$     42,865</w:t>
            </w:r>
          </w:p>
        </w:tc>
      </w:tr>
      <w:tr w:rsidR="006B1C5D" w:rsidRPr="006B1C5D" w14:paraId="13A18435" w14:textId="77777777" w:rsidTr="006F1B7A">
        <w:trPr>
          <w:tblCellSpacing w:w="15" w:type="dxa"/>
        </w:trPr>
        <w:tc>
          <w:tcPr>
            <w:tcW w:w="2700" w:type="dxa"/>
            <w:vAlign w:val="center"/>
            <w:hideMark/>
          </w:tcPr>
          <w:p w14:paraId="5388385D" w14:textId="77777777" w:rsidR="006B1C5D" w:rsidRPr="006B1C5D" w:rsidRDefault="006B1C5D" w:rsidP="006F1B7A">
            <w:pPr>
              <w:rPr>
                <w:sz w:val="20"/>
                <w:szCs w:val="20"/>
                <w:lang w:eastAsia="en-CA"/>
              </w:rPr>
            </w:pPr>
            <w:r w:rsidRPr="006B1C5D">
              <w:rPr>
                <w:sz w:val="20"/>
                <w:szCs w:val="20"/>
                <w:lang w:eastAsia="en-CA"/>
              </w:rPr>
              <w:t>Other Operating (5%)</w:t>
            </w:r>
          </w:p>
        </w:tc>
        <w:tc>
          <w:tcPr>
            <w:tcW w:w="874" w:type="dxa"/>
            <w:vAlign w:val="center"/>
            <w:hideMark/>
          </w:tcPr>
          <w:p w14:paraId="2BE73974" w14:textId="77777777" w:rsidR="006B1C5D" w:rsidRPr="006B1C5D" w:rsidRDefault="006B1C5D" w:rsidP="006F1B7A">
            <w:pPr>
              <w:rPr>
                <w:sz w:val="20"/>
                <w:szCs w:val="20"/>
                <w:lang w:eastAsia="en-CA"/>
              </w:rPr>
            </w:pPr>
            <w:r w:rsidRPr="006B1C5D">
              <w:rPr>
                <w:sz w:val="20"/>
                <w:szCs w:val="20"/>
                <w:lang w:eastAsia="en-CA"/>
              </w:rPr>
              <w:t>$     64,800</w:t>
            </w:r>
          </w:p>
        </w:tc>
        <w:tc>
          <w:tcPr>
            <w:tcW w:w="0" w:type="auto"/>
            <w:vAlign w:val="center"/>
            <w:hideMark/>
          </w:tcPr>
          <w:p w14:paraId="6093DFAB" w14:textId="77777777" w:rsidR="006B1C5D" w:rsidRPr="006B1C5D" w:rsidRDefault="006B1C5D" w:rsidP="006F1B7A">
            <w:pPr>
              <w:ind w:left="925"/>
              <w:rPr>
                <w:sz w:val="20"/>
                <w:szCs w:val="20"/>
                <w:lang w:eastAsia="en-CA"/>
              </w:rPr>
            </w:pPr>
            <w:r w:rsidRPr="006B1C5D">
              <w:rPr>
                <w:sz w:val="20"/>
                <w:szCs w:val="20"/>
                <w:lang w:eastAsia="en-CA"/>
              </w:rPr>
              <w:t>$     68,040</w:t>
            </w:r>
          </w:p>
        </w:tc>
        <w:tc>
          <w:tcPr>
            <w:tcW w:w="2891" w:type="dxa"/>
            <w:vAlign w:val="center"/>
            <w:hideMark/>
          </w:tcPr>
          <w:p w14:paraId="23F89CBB" w14:textId="77777777" w:rsidR="006B1C5D" w:rsidRPr="006B1C5D" w:rsidRDefault="006B1C5D" w:rsidP="006F1B7A">
            <w:pPr>
              <w:ind w:left="1202"/>
              <w:rPr>
                <w:sz w:val="20"/>
                <w:szCs w:val="20"/>
                <w:lang w:eastAsia="en-CA"/>
              </w:rPr>
            </w:pPr>
            <w:r w:rsidRPr="006B1C5D">
              <w:rPr>
                <w:sz w:val="20"/>
                <w:szCs w:val="20"/>
                <w:lang w:eastAsia="en-CA"/>
              </w:rPr>
              <w:t>$     71,442</w:t>
            </w:r>
          </w:p>
        </w:tc>
      </w:tr>
      <w:tr w:rsidR="006B1C5D" w:rsidRPr="006B1C5D" w14:paraId="62CB5DC2" w14:textId="77777777" w:rsidTr="006F1B7A">
        <w:trPr>
          <w:tblCellSpacing w:w="15" w:type="dxa"/>
        </w:trPr>
        <w:tc>
          <w:tcPr>
            <w:tcW w:w="2700" w:type="dxa"/>
            <w:vAlign w:val="center"/>
            <w:hideMark/>
          </w:tcPr>
          <w:p w14:paraId="3659A9AA" w14:textId="77777777" w:rsidR="006B1C5D" w:rsidRPr="006B1C5D" w:rsidRDefault="006B1C5D" w:rsidP="006F1B7A">
            <w:pPr>
              <w:rPr>
                <w:sz w:val="20"/>
                <w:szCs w:val="20"/>
                <w:lang w:eastAsia="en-CA"/>
              </w:rPr>
            </w:pPr>
            <w:r w:rsidRPr="006B1C5D">
              <w:rPr>
                <w:sz w:val="20"/>
                <w:szCs w:val="20"/>
                <w:lang w:eastAsia="en-CA"/>
              </w:rPr>
              <w:t>Franchise Royalty (6%)</w:t>
            </w:r>
          </w:p>
        </w:tc>
        <w:tc>
          <w:tcPr>
            <w:tcW w:w="874" w:type="dxa"/>
            <w:vAlign w:val="center"/>
            <w:hideMark/>
          </w:tcPr>
          <w:p w14:paraId="28CEB261" w14:textId="77777777" w:rsidR="006B1C5D" w:rsidRPr="006B1C5D" w:rsidRDefault="006B1C5D" w:rsidP="006F1B7A">
            <w:pPr>
              <w:rPr>
                <w:sz w:val="20"/>
                <w:szCs w:val="20"/>
                <w:lang w:eastAsia="en-CA"/>
              </w:rPr>
            </w:pPr>
            <w:r w:rsidRPr="006B1C5D">
              <w:rPr>
                <w:sz w:val="20"/>
                <w:szCs w:val="20"/>
                <w:lang w:eastAsia="en-CA"/>
              </w:rPr>
              <w:t>$     77,760</w:t>
            </w:r>
          </w:p>
        </w:tc>
        <w:tc>
          <w:tcPr>
            <w:tcW w:w="0" w:type="auto"/>
            <w:vAlign w:val="center"/>
            <w:hideMark/>
          </w:tcPr>
          <w:p w14:paraId="1C9E01FE" w14:textId="77777777" w:rsidR="006B1C5D" w:rsidRPr="006B1C5D" w:rsidRDefault="006B1C5D" w:rsidP="006F1B7A">
            <w:pPr>
              <w:ind w:left="925"/>
              <w:rPr>
                <w:sz w:val="20"/>
                <w:szCs w:val="20"/>
                <w:lang w:eastAsia="en-CA"/>
              </w:rPr>
            </w:pPr>
            <w:r w:rsidRPr="006B1C5D">
              <w:rPr>
                <w:sz w:val="20"/>
                <w:szCs w:val="20"/>
                <w:lang w:eastAsia="en-CA"/>
              </w:rPr>
              <w:t>$     81,648</w:t>
            </w:r>
          </w:p>
        </w:tc>
        <w:tc>
          <w:tcPr>
            <w:tcW w:w="2891" w:type="dxa"/>
            <w:vAlign w:val="center"/>
            <w:hideMark/>
          </w:tcPr>
          <w:p w14:paraId="74BF1D13" w14:textId="77777777" w:rsidR="006B1C5D" w:rsidRPr="006B1C5D" w:rsidRDefault="006B1C5D" w:rsidP="006F1B7A">
            <w:pPr>
              <w:ind w:left="1202"/>
              <w:rPr>
                <w:sz w:val="20"/>
                <w:szCs w:val="20"/>
                <w:lang w:eastAsia="en-CA"/>
              </w:rPr>
            </w:pPr>
            <w:r w:rsidRPr="006B1C5D">
              <w:rPr>
                <w:sz w:val="20"/>
                <w:szCs w:val="20"/>
                <w:lang w:eastAsia="en-CA"/>
              </w:rPr>
              <w:t>$     85,730</w:t>
            </w:r>
          </w:p>
        </w:tc>
      </w:tr>
      <w:tr w:rsidR="006B1C5D" w:rsidRPr="006B1C5D" w14:paraId="58814AF2" w14:textId="77777777" w:rsidTr="006F1B7A">
        <w:trPr>
          <w:tblCellSpacing w:w="15" w:type="dxa"/>
        </w:trPr>
        <w:tc>
          <w:tcPr>
            <w:tcW w:w="2700" w:type="dxa"/>
            <w:vAlign w:val="center"/>
            <w:hideMark/>
          </w:tcPr>
          <w:p w14:paraId="2ED8BF0F" w14:textId="77777777" w:rsidR="006B1C5D" w:rsidRPr="006B1C5D" w:rsidRDefault="006B1C5D" w:rsidP="006F1B7A">
            <w:pPr>
              <w:rPr>
                <w:sz w:val="20"/>
                <w:szCs w:val="20"/>
                <w:lang w:eastAsia="en-CA"/>
              </w:rPr>
            </w:pPr>
            <w:r w:rsidRPr="006B1C5D">
              <w:rPr>
                <w:sz w:val="20"/>
                <w:szCs w:val="20"/>
                <w:lang w:eastAsia="en-CA"/>
              </w:rPr>
              <w:t>Adv. Fund (4%)</w:t>
            </w:r>
          </w:p>
        </w:tc>
        <w:tc>
          <w:tcPr>
            <w:tcW w:w="874" w:type="dxa"/>
            <w:vAlign w:val="center"/>
            <w:hideMark/>
          </w:tcPr>
          <w:p w14:paraId="4C266549" w14:textId="77777777" w:rsidR="006B1C5D" w:rsidRPr="006B1C5D" w:rsidRDefault="006B1C5D" w:rsidP="006F1B7A">
            <w:pPr>
              <w:rPr>
                <w:sz w:val="20"/>
                <w:szCs w:val="20"/>
                <w:u w:val="single"/>
                <w:lang w:eastAsia="en-CA"/>
              </w:rPr>
            </w:pPr>
            <w:r w:rsidRPr="006B1C5D">
              <w:rPr>
                <w:sz w:val="20"/>
                <w:szCs w:val="20"/>
                <w:u w:val="single"/>
                <w:lang w:eastAsia="en-CA"/>
              </w:rPr>
              <w:t>$     51,840</w:t>
            </w:r>
          </w:p>
        </w:tc>
        <w:tc>
          <w:tcPr>
            <w:tcW w:w="0" w:type="auto"/>
            <w:vAlign w:val="center"/>
            <w:hideMark/>
          </w:tcPr>
          <w:p w14:paraId="78087C41" w14:textId="77777777" w:rsidR="006B1C5D" w:rsidRPr="006B1C5D" w:rsidRDefault="006B1C5D" w:rsidP="006F1B7A">
            <w:pPr>
              <w:ind w:left="925"/>
              <w:rPr>
                <w:sz w:val="20"/>
                <w:szCs w:val="20"/>
                <w:u w:val="single"/>
                <w:lang w:eastAsia="en-CA"/>
              </w:rPr>
            </w:pPr>
            <w:r w:rsidRPr="006B1C5D">
              <w:rPr>
                <w:sz w:val="20"/>
                <w:szCs w:val="20"/>
                <w:u w:val="single"/>
                <w:lang w:eastAsia="en-CA"/>
              </w:rPr>
              <w:t>$     54,432</w:t>
            </w:r>
          </w:p>
        </w:tc>
        <w:tc>
          <w:tcPr>
            <w:tcW w:w="2891" w:type="dxa"/>
            <w:vAlign w:val="center"/>
            <w:hideMark/>
          </w:tcPr>
          <w:p w14:paraId="7893C88A" w14:textId="77777777" w:rsidR="006B1C5D" w:rsidRPr="006B1C5D" w:rsidRDefault="006B1C5D" w:rsidP="006F1B7A">
            <w:pPr>
              <w:ind w:left="1202"/>
              <w:rPr>
                <w:sz w:val="20"/>
                <w:szCs w:val="20"/>
                <w:u w:val="single"/>
                <w:lang w:eastAsia="en-CA"/>
              </w:rPr>
            </w:pPr>
            <w:r w:rsidRPr="006B1C5D">
              <w:rPr>
                <w:sz w:val="20"/>
                <w:szCs w:val="20"/>
                <w:u w:val="single"/>
                <w:lang w:eastAsia="en-CA"/>
              </w:rPr>
              <w:t>$     57,154</w:t>
            </w:r>
          </w:p>
        </w:tc>
      </w:tr>
      <w:tr w:rsidR="006B1C5D" w:rsidRPr="006B1C5D" w14:paraId="336CDBDD" w14:textId="77777777" w:rsidTr="006F1B7A">
        <w:trPr>
          <w:tblCellSpacing w:w="15" w:type="dxa"/>
        </w:trPr>
        <w:tc>
          <w:tcPr>
            <w:tcW w:w="2700" w:type="dxa"/>
            <w:vAlign w:val="center"/>
            <w:hideMark/>
          </w:tcPr>
          <w:p w14:paraId="732506A5" w14:textId="77777777" w:rsidR="006B1C5D" w:rsidRPr="006B1C5D" w:rsidRDefault="006B1C5D" w:rsidP="006F1B7A">
            <w:pPr>
              <w:rPr>
                <w:sz w:val="20"/>
                <w:szCs w:val="20"/>
                <w:lang w:eastAsia="en-CA"/>
              </w:rPr>
            </w:pPr>
            <w:r w:rsidRPr="006B1C5D">
              <w:rPr>
                <w:b/>
                <w:bCs/>
                <w:sz w:val="20"/>
                <w:szCs w:val="20"/>
                <w:lang w:eastAsia="en-CA"/>
              </w:rPr>
              <w:t>EBITDA</w:t>
            </w:r>
          </w:p>
        </w:tc>
        <w:tc>
          <w:tcPr>
            <w:tcW w:w="874" w:type="dxa"/>
            <w:vAlign w:val="center"/>
            <w:hideMark/>
          </w:tcPr>
          <w:p w14:paraId="6E7CD4E2" w14:textId="77777777" w:rsidR="006B1C5D" w:rsidRPr="006B1C5D" w:rsidRDefault="006B1C5D" w:rsidP="006F1B7A">
            <w:pPr>
              <w:rPr>
                <w:b/>
                <w:bCs/>
                <w:sz w:val="20"/>
                <w:szCs w:val="20"/>
                <w:lang w:eastAsia="en-CA"/>
              </w:rPr>
            </w:pPr>
            <w:r w:rsidRPr="006B1C5D">
              <w:rPr>
                <w:b/>
                <w:bCs/>
                <w:sz w:val="20"/>
                <w:szCs w:val="20"/>
                <w:lang w:eastAsia="en-CA"/>
              </w:rPr>
              <w:t>$   164,520</w:t>
            </w:r>
          </w:p>
        </w:tc>
        <w:tc>
          <w:tcPr>
            <w:tcW w:w="0" w:type="auto"/>
            <w:vAlign w:val="center"/>
            <w:hideMark/>
          </w:tcPr>
          <w:p w14:paraId="45FFE680" w14:textId="77777777" w:rsidR="006B1C5D" w:rsidRPr="006B1C5D" w:rsidRDefault="006B1C5D" w:rsidP="006F1B7A">
            <w:pPr>
              <w:ind w:left="925"/>
              <w:rPr>
                <w:b/>
                <w:bCs/>
                <w:sz w:val="20"/>
                <w:szCs w:val="20"/>
                <w:lang w:eastAsia="en-CA"/>
              </w:rPr>
            </w:pPr>
            <w:r w:rsidRPr="006B1C5D">
              <w:rPr>
                <w:b/>
                <w:bCs/>
                <w:sz w:val="20"/>
                <w:szCs w:val="20"/>
                <w:lang w:eastAsia="en-CA"/>
              </w:rPr>
              <w:t>$   179,376</w:t>
            </w:r>
          </w:p>
        </w:tc>
        <w:tc>
          <w:tcPr>
            <w:tcW w:w="2891" w:type="dxa"/>
            <w:vAlign w:val="center"/>
            <w:hideMark/>
          </w:tcPr>
          <w:p w14:paraId="053A94D8" w14:textId="77777777" w:rsidR="006B1C5D" w:rsidRPr="006B1C5D" w:rsidRDefault="006B1C5D" w:rsidP="006F1B7A">
            <w:pPr>
              <w:ind w:left="1202"/>
              <w:rPr>
                <w:b/>
                <w:bCs/>
                <w:sz w:val="20"/>
                <w:szCs w:val="20"/>
                <w:lang w:eastAsia="en-CA"/>
              </w:rPr>
            </w:pPr>
            <w:r w:rsidRPr="006B1C5D">
              <w:rPr>
                <w:b/>
                <w:bCs/>
                <w:sz w:val="20"/>
                <w:szCs w:val="20"/>
                <w:lang w:eastAsia="en-CA"/>
              </w:rPr>
              <w:t>$   194,345</w:t>
            </w:r>
          </w:p>
        </w:tc>
      </w:tr>
      <w:tr w:rsidR="006B1C5D" w:rsidRPr="006B1C5D" w14:paraId="1A494387" w14:textId="77777777" w:rsidTr="006F1B7A">
        <w:trPr>
          <w:tblCellSpacing w:w="15" w:type="dxa"/>
        </w:trPr>
        <w:tc>
          <w:tcPr>
            <w:tcW w:w="2700" w:type="dxa"/>
            <w:vAlign w:val="center"/>
            <w:hideMark/>
          </w:tcPr>
          <w:p w14:paraId="723B8C5E" w14:textId="77777777" w:rsidR="006B1C5D" w:rsidRPr="006B1C5D" w:rsidRDefault="006B1C5D" w:rsidP="006F1B7A">
            <w:pPr>
              <w:rPr>
                <w:sz w:val="20"/>
                <w:szCs w:val="20"/>
                <w:lang w:eastAsia="en-CA"/>
              </w:rPr>
            </w:pPr>
            <w:r w:rsidRPr="006B1C5D">
              <w:rPr>
                <w:sz w:val="20"/>
                <w:szCs w:val="20"/>
                <w:lang w:eastAsia="en-CA"/>
              </w:rPr>
              <w:t>Interest Expense</w:t>
            </w:r>
          </w:p>
        </w:tc>
        <w:tc>
          <w:tcPr>
            <w:tcW w:w="874" w:type="dxa"/>
            <w:vAlign w:val="center"/>
            <w:hideMark/>
          </w:tcPr>
          <w:p w14:paraId="7184DF3E" w14:textId="77777777" w:rsidR="006B1C5D" w:rsidRPr="006B1C5D" w:rsidRDefault="006B1C5D" w:rsidP="006F1B7A">
            <w:pPr>
              <w:rPr>
                <w:sz w:val="20"/>
                <w:szCs w:val="20"/>
                <w:lang w:eastAsia="en-CA"/>
              </w:rPr>
            </w:pPr>
            <w:r w:rsidRPr="006B1C5D">
              <w:rPr>
                <w:sz w:val="20"/>
                <w:szCs w:val="20"/>
                <w:lang w:eastAsia="en-CA"/>
              </w:rPr>
              <w:t>$     30,000</w:t>
            </w:r>
          </w:p>
        </w:tc>
        <w:tc>
          <w:tcPr>
            <w:tcW w:w="0" w:type="auto"/>
            <w:vAlign w:val="center"/>
            <w:hideMark/>
          </w:tcPr>
          <w:p w14:paraId="11753959" w14:textId="77777777" w:rsidR="006B1C5D" w:rsidRPr="006B1C5D" w:rsidRDefault="006B1C5D" w:rsidP="006F1B7A">
            <w:pPr>
              <w:ind w:left="925"/>
              <w:rPr>
                <w:sz w:val="20"/>
                <w:szCs w:val="20"/>
                <w:lang w:eastAsia="en-CA"/>
              </w:rPr>
            </w:pPr>
            <w:r w:rsidRPr="006B1C5D">
              <w:rPr>
                <w:sz w:val="20"/>
                <w:szCs w:val="20"/>
                <w:lang w:eastAsia="en-CA"/>
              </w:rPr>
              <w:t>$    30,000</w:t>
            </w:r>
          </w:p>
        </w:tc>
        <w:tc>
          <w:tcPr>
            <w:tcW w:w="2891" w:type="dxa"/>
            <w:vAlign w:val="center"/>
            <w:hideMark/>
          </w:tcPr>
          <w:p w14:paraId="5925CD7E" w14:textId="77777777" w:rsidR="006B1C5D" w:rsidRPr="006B1C5D" w:rsidRDefault="006B1C5D" w:rsidP="006F1B7A">
            <w:pPr>
              <w:ind w:left="1202"/>
              <w:rPr>
                <w:sz w:val="20"/>
                <w:szCs w:val="20"/>
                <w:lang w:eastAsia="en-CA"/>
              </w:rPr>
            </w:pPr>
            <w:r w:rsidRPr="006B1C5D">
              <w:rPr>
                <w:sz w:val="20"/>
                <w:szCs w:val="20"/>
                <w:lang w:eastAsia="en-CA"/>
              </w:rPr>
              <w:t>$     30,000</w:t>
            </w:r>
          </w:p>
        </w:tc>
      </w:tr>
      <w:tr w:rsidR="006B1C5D" w:rsidRPr="006B1C5D" w14:paraId="5CF8F8BC" w14:textId="77777777" w:rsidTr="006F1B7A">
        <w:trPr>
          <w:tblCellSpacing w:w="15" w:type="dxa"/>
        </w:trPr>
        <w:tc>
          <w:tcPr>
            <w:tcW w:w="2700" w:type="dxa"/>
            <w:vAlign w:val="center"/>
            <w:hideMark/>
          </w:tcPr>
          <w:p w14:paraId="07B042FA" w14:textId="77777777" w:rsidR="006B1C5D" w:rsidRPr="006B1C5D" w:rsidRDefault="006B1C5D" w:rsidP="006F1B7A">
            <w:pPr>
              <w:rPr>
                <w:sz w:val="20"/>
                <w:szCs w:val="20"/>
                <w:lang w:eastAsia="en-CA"/>
              </w:rPr>
            </w:pPr>
            <w:r w:rsidRPr="006B1C5D">
              <w:rPr>
                <w:sz w:val="20"/>
                <w:szCs w:val="20"/>
                <w:lang w:eastAsia="en-CA"/>
              </w:rPr>
              <w:t>Depreciation</w:t>
            </w:r>
          </w:p>
        </w:tc>
        <w:tc>
          <w:tcPr>
            <w:tcW w:w="874" w:type="dxa"/>
            <w:vAlign w:val="center"/>
            <w:hideMark/>
          </w:tcPr>
          <w:p w14:paraId="10061563" w14:textId="77777777" w:rsidR="006B1C5D" w:rsidRPr="006B1C5D" w:rsidRDefault="006B1C5D" w:rsidP="006F1B7A">
            <w:pPr>
              <w:rPr>
                <w:sz w:val="20"/>
                <w:szCs w:val="20"/>
                <w:u w:val="single"/>
                <w:lang w:eastAsia="en-CA"/>
              </w:rPr>
            </w:pPr>
            <w:r w:rsidRPr="006B1C5D">
              <w:rPr>
                <w:sz w:val="20"/>
                <w:szCs w:val="20"/>
                <w:u w:val="single"/>
                <w:lang w:eastAsia="en-CA"/>
              </w:rPr>
              <w:t>$     50,000</w:t>
            </w:r>
          </w:p>
        </w:tc>
        <w:tc>
          <w:tcPr>
            <w:tcW w:w="0" w:type="auto"/>
            <w:vAlign w:val="center"/>
            <w:hideMark/>
          </w:tcPr>
          <w:p w14:paraId="546F4304" w14:textId="77777777" w:rsidR="006B1C5D" w:rsidRPr="006B1C5D" w:rsidRDefault="006B1C5D" w:rsidP="006F1B7A">
            <w:pPr>
              <w:ind w:left="925"/>
              <w:rPr>
                <w:sz w:val="20"/>
                <w:szCs w:val="20"/>
                <w:u w:val="single"/>
                <w:lang w:eastAsia="en-CA"/>
              </w:rPr>
            </w:pPr>
            <w:r w:rsidRPr="006B1C5D">
              <w:rPr>
                <w:sz w:val="20"/>
                <w:szCs w:val="20"/>
                <w:u w:val="single"/>
                <w:lang w:eastAsia="en-CA"/>
              </w:rPr>
              <w:t>$    50,000</w:t>
            </w:r>
          </w:p>
        </w:tc>
        <w:tc>
          <w:tcPr>
            <w:tcW w:w="2891" w:type="dxa"/>
            <w:vAlign w:val="center"/>
            <w:hideMark/>
          </w:tcPr>
          <w:p w14:paraId="4B6AD84E" w14:textId="77777777" w:rsidR="006B1C5D" w:rsidRPr="006B1C5D" w:rsidRDefault="006B1C5D" w:rsidP="006F1B7A">
            <w:pPr>
              <w:ind w:left="1202"/>
              <w:rPr>
                <w:sz w:val="20"/>
                <w:szCs w:val="20"/>
                <w:u w:val="single"/>
                <w:lang w:eastAsia="en-CA"/>
              </w:rPr>
            </w:pPr>
            <w:r w:rsidRPr="006B1C5D">
              <w:rPr>
                <w:sz w:val="20"/>
                <w:szCs w:val="20"/>
                <w:u w:val="single"/>
                <w:lang w:eastAsia="en-CA"/>
              </w:rPr>
              <w:t>$     50,000</w:t>
            </w:r>
          </w:p>
        </w:tc>
      </w:tr>
      <w:tr w:rsidR="006B1C5D" w:rsidRPr="006B1C5D" w14:paraId="12BD1688" w14:textId="77777777" w:rsidTr="006F1B7A">
        <w:trPr>
          <w:tblCellSpacing w:w="15" w:type="dxa"/>
        </w:trPr>
        <w:tc>
          <w:tcPr>
            <w:tcW w:w="2700" w:type="dxa"/>
            <w:vAlign w:val="center"/>
            <w:hideMark/>
          </w:tcPr>
          <w:p w14:paraId="566B1A50" w14:textId="77777777" w:rsidR="006B1C5D" w:rsidRPr="006B1C5D" w:rsidRDefault="006B1C5D" w:rsidP="006F1B7A">
            <w:pPr>
              <w:rPr>
                <w:b/>
                <w:bCs/>
                <w:sz w:val="20"/>
                <w:szCs w:val="20"/>
                <w:lang w:eastAsia="en-CA"/>
              </w:rPr>
            </w:pPr>
            <w:r w:rsidRPr="006B1C5D">
              <w:rPr>
                <w:b/>
                <w:bCs/>
                <w:sz w:val="20"/>
                <w:szCs w:val="20"/>
                <w:lang w:eastAsia="en-CA"/>
              </w:rPr>
              <w:t>Earnings Before Tax</w:t>
            </w:r>
          </w:p>
        </w:tc>
        <w:tc>
          <w:tcPr>
            <w:tcW w:w="874" w:type="dxa"/>
            <w:vAlign w:val="center"/>
            <w:hideMark/>
          </w:tcPr>
          <w:p w14:paraId="65DD5CFB" w14:textId="77777777" w:rsidR="006B1C5D" w:rsidRPr="006B1C5D" w:rsidRDefault="006B1C5D" w:rsidP="006F1B7A">
            <w:pPr>
              <w:rPr>
                <w:b/>
                <w:bCs/>
                <w:sz w:val="20"/>
                <w:szCs w:val="20"/>
                <w:lang w:eastAsia="en-CA"/>
              </w:rPr>
            </w:pPr>
            <w:r w:rsidRPr="006B1C5D">
              <w:rPr>
                <w:b/>
                <w:bCs/>
                <w:sz w:val="20"/>
                <w:szCs w:val="20"/>
                <w:lang w:eastAsia="en-CA"/>
              </w:rPr>
              <w:t>$     84,520</w:t>
            </w:r>
          </w:p>
        </w:tc>
        <w:tc>
          <w:tcPr>
            <w:tcW w:w="0" w:type="auto"/>
            <w:vAlign w:val="center"/>
            <w:hideMark/>
          </w:tcPr>
          <w:p w14:paraId="7844F4ED" w14:textId="77777777" w:rsidR="006B1C5D" w:rsidRPr="006B1C5D" w:rsidRDefault="006B1C5D" w:rsidP="006F1B7A">
            <w:pPr>
              <w:ind w:left="925"/>
              <w:rPr>
                <w:b/>
                <w:bCs/>
                <w:sz w:val="20"/>
                <w:szCs w:val="20"/>
                <w:lang w:eastAsia="en-CA"/>
              </w:rPr>
            </w:pPr>
            <w:r w:rsidRPr="006B1C5D">
              <w:rPr>
                <w:b/>
                <w:bCs/>
                <w:sz w:val="20"/>
                <w:szCs w:val="20"/>
                <w:lang w:eastAsia="en-CA"/>
              </w:rPr>
              <w:t>$    99,376</w:t>
            </w:r>
          </w:p>
        </w:tc>
        <w:tc>
          <w:tcPr>
            <w:tcW w:w="2891" w:type="dxa"/>
            <w:vAlign w:val="center"/>
            <w:hideMark/>
          </w:tcPr>
          <w:p w14:paraId="08752FF2" w14:textId="77777777" w:rsidR="006B1C5D" w:rsidRPr="006B1C5D" w:rsidRDefault="006B1C5D" w:rsidP="006F1B7A">
            <w:pPr>
              <w:ind w:left="1202"/>
              <w:rPr>
                <w:b/>
                <w:bCs/>
                <w:sz w:val="20"/>
                <w:szCs w:val="20"/>
                <w:lang w:eastAsia="en-CA"/>
              </w:rPr>
            </w:pPr>
            <w:r w:rsidRPr="006B1C5D">
              <w:rPr>
                <w:b/>
                <w:bCs/>
                <w:sz w:val="20"/>
                <w:szCs w:val="20"/>
                <w:lang w:eastAsia="en-CA"/>
              </w:rPr>
              <w:t>$    114,345</w:t>
            </w:r>
          </w:p>
        </w:tc>
      </w:tr>
      <w:tr w:rsidR="006B1C5D" w:rsidRPr="006B1C5D" w14:paraId="65F4AFA5" w14:textId="77777777" w:rsidTr="006F1B7A">
        <w:trPr>
          <w:tblCellSpacing w:w="15" w:type="dxa"/>
        </w:trPr>
        <w:tc>
          <w:tcPr>
            <w:tcW w:w="2700" w:type="dxa"/>
            <w:vAlign w:val="center"/>
            <w:hideMark/>
          </w:tcPr>
          <w:p w14:paraId="7B161B0C" w14:textId="77777777" w:rsidR="006B1C5D" w:rsidRPr="006B1C5D" w:rsidRDefault="006B1C5D" w:rsidP="006F1B7A">
            <w:pPr>
              <w:rPr>
                <w:sz w:val="20"/>
                <w:szCs w:val="20"/>
                <w:lang w:eastAsia="en-CA"/>
              </w:rPr>
            </w:pPr>
            <w:r w:rsidRPr="006B1C5D">
              <w:rPr>
                <w:sz w:val="20"/>
                <w:szCs w:val="20"/>
                <w:lang w:eastAsia="en-CA"/>
              </w:rPr>
              <w:t>Taxes</w:t>
            </w:r>
          </w:p>
          <w:p w14:paraId="1A188BAE" w14:textId="77777777" w:rsidR="006B1C5D" w:rsidRPr="006B1C5D" w:rsidRDefault="006B1C5D" w:rsidP="006F1B7A">
            <w:pPr>
              <w:rPr>
                <w:b/>
                <w:bCs/>
                <w:sz w:val="20"/>
                <w:szCs w:val="20"/>
                <w:lang w:eastAsia="en-CA"/>
              </w:rPr>
            </w:pPr>
            <w:r w:rsidRPr="006B1C5D">
              <w:rPr>
                <w:b/>
                <w:bCs/>
                <w:sz w:val="20"/>
                <w:szCs w:val="20"/>
                <w:lang w:eastAsia="en-CA"/>
              </w:rPr>
              <w:t xml:space="preserve">Earnings After Tax </w:t>
            </w:r>
          </w:p>
          <w:p w14:paraId="3AB3507A" w14:textId="77777777" w:rsidR="006B1C5D" w:rsidRPr="006B1C5D" w:rsidRDefault="006B1C5D" w:rsidP="006F1B7A">
            <w:pPr>
              <w:rPr>
                <w:sz w:val="20"/>
                <w:szCs w:val="20"/>
                <w:vertAlign w:val="superscript"/>
                <w:lang w:eastAsia="en-CA"/>
              </w:rPr>
            </w:pPr>
            <w:r w:rsidRPr="006B1C5D">
              <w:rPr>
                <w:sz w:val="20"/>
                <w:szCs w:val="20"/>
                <w:lang w:eastAsia="en-CA"/>
              </w:rPr>
              <w:t>Add: Depreciation</w:t>
            </w:r>
          </w:p>
        </w:tc>
        <w:tc>
          <w:tcPr>
            <w:tcW w:w="874" w:type="dxa"/>
            <w:vAlign w:val="center"/>
            <w:hideMark/>
          </w:tcPr>
          <w:p w14:paraId="0C232FFD" w14:textId="77777777" w:rsidR="006B1C5D" w:rsidRPr="006B1C5D" w:rsidRDefault="006B1C5D" w:rsidP="006F1B7A">
            <w:pPr>
              <w:rPr>
                <w:sz w:val="20"/>
                <w:szCs w:val="20"/>
                <w:u w:val="single"/>
                <w:lang w:eastAsia="en-CA"/>
              </w:rPr>
            </w:pPr>
            <w:r w:rsidRPr="006B1C5D">
              <w:rPr>
                <w:sz w:val="20"/>
                <w:szCs w:val="20"/>
                <w:u w:val="single"/>
                <w:lang w:eastAsia="en-CA"/>
              </w:rPr>
              <w:t>$     16,904</w:t>
            </w:r>
          </w:p>
          <w:p w14:paraId="3CF4C451" w14:textId="77777777" w:rsidR="006B1C5D" w:rsidRPr="006B1C5D" w:rsidRDefault="006B1C5D" w:rsidP="006F1B7A">
            <w:pPr>
              <w:rPr>
                <w:b/>
                <w:bCs/>
                <w:sz w:val="20"/>
                <w:szCs w:val="20"/>
                <w:lang w:eastAsia="en-CA"/>
              </w:rPr>
            </w:pPr>
            <w:r w:rsidRPr="006B1C5D">
              <w:rPr>
                <w:b/>
                <w:bCs/>
                <w:sz w:val="20"/>
                <w:szCs w:val="20"/>
                <w:lang w:eastAsia="en-CA"/>
              </w:rPr>
              <w:t>$     67,616</w:t>
            </w:r>
          </w:p>
          <w:p w14:paraId="151C353D" w14:textId="77777777" w:rsidR="006B1C5D" w:rsidRPr="006B1C5D" w:rsidRDefault="006B1C5D" w:rsidP="006F1B7A">
            <w:pPr>
              <w:rPr>
                <w:sz w:val="20"/>
                <w:szCs w:val="20"/>
                <w:u w:val="single"/>
                <w:lang w:eastAsia="en-CA"/>
              </w:rPr>
            </w:pPr>
            <w:r w:rsidRPr="006B1C5D">
              <w:rPr>
                <w:sz w:val="20"/>
                <w:szCs w:val="20"/>
                <w:u w:val="single"/>
                <w:lang w:eastAsia="en-CA"/>
              </w:rPr>
              <w:t>$     50,000</w:t>
            </w:r>
          </w:p>
        </w:tc>
        <w:tc>
          <w:tcPr>
            <w:tcW w:w="0" w:type="auto"/>
            <w:vAlign w:val="center"/>
            <w:hideMark/>
          </w:tcPr>
          <w:p w14:paraId="76332885" w14:textId="77777777" w:rsidR="006B1C5D" w:rsidRPr="006B1C5D" w:rsidRDefault="006B1C5D" w:rsidP="006F1B7A">
            <w:pPr>
              <w:ind w:left="925"/>
              <w:rPr>
                <w:sz w:val="20"/>
                <w:szCs w:val="20"/>
                <w:u w:val="single"/>
                <w:lang w:eastAsia="en-CA"/>
              </w:rPr>
            </w:pPr>
            <w:r w:rsidRPr="006B1C5D">
              <w:rPr>
                <w:sz w:val="20"/>
                <w:szCs w:val="20"/>
                <w:u w:val="single"/>
                <w:lang w:eastAsia="en-CA"/>
              </w:rPr>
              <w:t xml:space="preserve">$    19,876   </w:t>
            </w:r>
          </w:p>
          <w:p w14:paraId="23A65B79" w14:textId="77777777" w:rsidR="006B1C5D" w:rsidRPr="006B1C5D" w:rsidRDefault="006B1C5D" w:rsidP="006F1B7A">
            <w:pPr>
              <w:ind w:left="925"/>
              <w:rPr>
                <w:b/>
                <w:bCs/>
                <w:sz w:val="20"/>
                <w:szCs w:val="20"/>
                <w:lang w:eastAsia="en-CA"/>
              </w:rPr>
            </w:pPr>
            <w:r w:rsidRPr="006B1C5D">
              <w:rPr>
                <w:b/>
                <w:bCs/>
                <w:sz w:val="20"/>
                <w:szCs w:val="20"/>
                <w:lang w:eastAsia="en-CA"/>
              </w:rPr>
              <w:t>$    79,500</w:t>
            </w:r>
          </w:p>
          <w:p w14:paraId="400FECD3" w14:textId="77777777" w:rsidR="006B1C5D" w:rsidRPr="006B1C5D" w:rsidRDefault="006B1C5D" w:rsidP="006F1B7A">
            <w:pPr>
              <w:ind w:left="925"/>
              <w:rPr>
                <w:sz w:val="20"/>
                <w:szCs w:val="20"/>
                <w:u w:val="single"/>
                <w:lang w:eastAsia="en-CA"/>
              </w:rPr>
            </w:pPr>
            <w:r w:rsidRPr="006B1C5D">
              <w:rPr>
                <w:sz w:val="20"/>
                <w:szCs w:val="20"/>
                <w:u w:val="single"/>
                <w:lang w:eastAsia="en-CA"/>
              </w:rPr>
              <w:t>$    50,000</w:t>
            </w:r>
          </w:p>
        </w:tc>
        <w:tc>
          <w:tcPr>
            <w:tcW w:w="2891" w:type="dxa"/>
            <w:vAlign w:val="center"/>
            <w:hideMark/>
          </w:tcPr>
          <w:p w14:paraId="3DFD3983" w14:textId="77777777" w:rsidR="006B1C5D" w:rsidRPr="006B1C5D" w:rsidRDefault="006B1C5D" w:rsidP="006F1B7A">
            <w:pPr>
              <w:ind w:left="1202"/>
              <w:rPr>
                <w:sz w:val="20"/>
                <w:szCs w:val="20"/>
                <w:u w:val="single"/>
                <w:lang w:eastAsia="en-CA"/>
              </w:rPr>
            </w:pPr>
            <w:r w:rsidRPr="006B1C5D">
              <w:rPr>
                <w:sz w:val="20"/>
                <w:szCs w:val="20"/>
                <w:u w:val="single"/>
                <w:lang w:eastAsia="en-CA"/>
              </w:rPr>
              <w:t>$      22,869</w:t>
            </w:r>
          </w:p>
          <w:p w14:paraId="36942EC8" w14:textId="77777777" w:rsidR="006B1C5D" w:rsidRPr="006B1C5D" w:rsidRDefault="006B1C5D" w:rsidP="006F1B7A">
            <w:pPr>
              <w:ind w:left="1202"/>
              <w:rPr>
                <w:b/>
                <w:bCs/>
                <w:sz w:val="20"/>
                <w:szCs w:val="20"/>
                <w:lang w:eastAsia="en-CA"/>
              </w:rPr>
            </w:pPr>
            <w:r w:rsidRPr="006B1C5D">
              <w:rPr>
                <w:b/>
                <w:bCs/>
                <w:sz w:val="20"/>
                <w:szCs w:val="20"/>
                <w:lang w:eastAsia="en-CA"/>
              </w:rPr>
              <w:t>$      91,476</w:t>
            </w:r>
          </w:p>
          <w:p w14:paraId="6DD3807A" w14:textId="77777777" w:rsidR="006B1C5D" w:rsidRPr="006B1C5D" w:rsidRDefault="006B1C5D" w:rsidP="006F1B7A">
            <w:pPr>
              <w:ind w:left="1202"/>
              <w:rPr>
                <w:sz w:val="20"/>
                <w:szCs w:val="20"/>
                <w:u w:val="single"/>
                <w:lang w:eastAsia="en-CA"/>
              </w:rPr>
            </w:pPr>
            <w:r w:rsidRPr="006B1C5D">
              <w:rPr>
                <w:sz w:val="20"/>
                <w:szCs w:val="20"/>
                <w:u w:val="single"/>
                <w:lang w:eastAsia="en-CA"/>
              </w:rPr>
              <w:t>$      50,000</w:t>
            </w:r>
          </w:p>
        </w:tc>
      </w:tr>
      <w:tr w:rsidR="006B1C5D" w:rsidRPr="006B1C5D" w14:paraId="53DEE745" w14:textId="77777777" w:rsidTr="006F1B7A">
        <w:trPr>
          <w:tblCellSpacing w:w="15" w:type="dxa"/>
        </w:trPr>
        <w:tc>
          <w:tcPr>
            <w:tcW w:w="2700" w:type="dxa"/>
            <w:vAlign w:val="center"/>
          </w:tcPr>
          <w:p w14:paraId="7703395C" w14:textId="77777777" w:rsidR="006B1C5D" w:rsidRPr="006B1C5D" w:rsidRDefault="006B1C5D" w:rsidP="006F1B7A">
            <w:pPr>
              <w:rPr>
                <w:b/>
                <w:bCs/>
                <w:sz w:val="20"/>
                <w:szCs w:val="20"/>
                <w:lang w:eastAsia="en-CA"/>
              </w:rPr>
            </w:pPr>
            <w:r w:rsidRPr="006B1C5D">
              <w:rPr>
                <w:b/>
                <w:bCs/>
                <w:sz w:val="20"/>
                <w:szCs w:val="20"/>
                <w:lang w:eastAsia="en-CA"/>
              </w:rPr>
              <w:t xml:space="preserve">Cash After Tax </w:t>
            </w:r>
          </w:p>
        </w:tc>
        <w:tc>
          <w:tcPr>
            <w:tcW w:w="874" w:type="dxa"/>
            <w:vAlign w:val="center"/>
          </w:tcPr>
          <w:p w14:paraId="51BC7841" w14:textId="77777777" w:rsidR="006B1C5D" w:rsidRPr="006B1C5D" w:rsidRDefault="006B1C5D" w:rsidP="006F1B7A">
            <w:pPr>
              <w:rPr>
                <w:sz w:val="20"/>
                <w:szCs w:val="20"/>
                <w:lang w:eastAsia="en-CA"/>
              </w:rPr>
            </w:pPr>
            <w:proofErr w:type="gramStart"/>
            <w:r w:rsidRPr="006B1C5D">
              <w:rPr>
                <w:sz w:val="20"/>
                <w:szCs w:val="20"/>
                <w:lang w:eastAsia="en-CA"/>
              </w:rPr>
              <w:t>$  117,616</w:t>
            </w:r>
            <w:proofErr w:type="gramEnd"/>
          </w:p>
        </w:tc>
        <w:tc>
          <w:tcPr>
            <w:tcW w:w="0" w:type="auto"/>
            <w:vAlign w:val="center"/>
          </w:tcPr>
          <w:p w14:paraId="465E3CF0" w14:textId="77777777" w:rsidR="006B1C5D" w:rsidRPr="006B1C5D" w:rsidRDefault="006B1C5D" w:rsidP="006F1B7A">
            <w:pPr>
              <w:ind w:left="925"/>
              <w:rPr>
                <w:sz w:val="20"/>
                <w:szCs w:val="20"/>
                <w:lang w:eastAsia="en-CA"/>
              </w:rPr>
            </w:pPr>
            <w:proofErr w:type="gramStart"/>
            <w:r w:rsidRPr="006B1C5D">
              <w:rPr>
                <w:sz w:val="20"/>
                <w:szCs w:val="20"/>
                <w:lang w:eastAsia="en-CA"/>
              </w:rPr>
              <w:t>$  129,500</w:t>
            </w:r>
            <w:proofErr w:type="gramEnd"/>
          </w:p>
        </w:tc>
        <w:tc>
          <w:tcPr>
            <w:tcW w:w="2891" w:type="dxa"/>
            <w:vAlign w:val="center"/>
          </w:tcPr>
          <w:p w14:paraId="2854AF89" w14:textId="77777777" w:rsidR="006B1C5D" w:rsidRPr="006B1C5D" w:rsidRDefault="006B1C5D" w:rsidP="006F1B7A">
            <w:pPr>
              <w:rPr>
                <w:b/>
                <w:bCs/>
                <w:sz w:val="20"/>
                <w:szCs w:val="20"/>
                <w:lang w:eastAsia="en-CA"/>
              </w:rPr>
            </w:pPr>
            <w:r w:rsidRPr="006B1C5D">
              <w:rPr>
                <w:b/>
                <w:bCs/>
                <w:sz w:val="20"/>
                <w:szCs w:val="20"/>
                <w:lang w:eastAsia="en-CA"/>
              </w:rPr>
              <w:t xml:space="preserve">                    $    141,476</w:t>
            </w:r>
          </w:p>
        </w:tc>
      </w:tr>
      <w:tr w:rsidR="006B1C5D" w:rsidRPr="006B1C5D" w14:paraId="45547414" w14:textId="77777777" w:rsidTr="006F1B7A">
        <w:trPr>
          <w:tblCellSpacing w:w="15" w:type="dxa"/>
        </w:trPr>
        <w:tc>
          <w:tcPr>
            <w:tcW w:w="2700" w:type="dxa"/>
            <w:vAlign w:val="center"/>
          </w:tcPr>
          <w:p w14:paraId="295B2D5E" w14:textId="77777777" w:rsidR="006B1C5D" w:rsidRPr="006B1C5D" w:rsidRDefault="006B1C5D" w:rsidP="006F1B7A">
            <w:pPr>
              <w:rPr>
                <w:sz w:val="20"/>
                <w:szCs w:val="20"/>
                <w:lang w:eastAsia="en-CA"/>
              </w:rPr>
            </w:pPr>
            <w:r w:rsidRPr="006B1C5D">
              <w:rPr>
                <w:sz w:val="20"/>
                <w:szCs w:val="20"/>
                <w:lang w:eastAsia="en-CA"/>
              </w:rPr>
              <w:t>Loan Repayment</w:t>
            </w:r>
          </w:p>
        </w:tc>
        <w:tc>
          <w:tcPr>
            <w:tcW w:w="874" w:type="dxa"/>
            <w:vAlign w:val="center"/>
          </w:tcPr>
          <w:p w14:paraId="29E826D2" w14:textId="77777777" w:rsidR="006B1C5D" w:rsidRPr="006B1C5D" w:rsidRDefault="006B1C5D" w:rsidP="006F1B7A">
            <w:pPr>
              <w:rPr>
                <w:sz w:val="20"/>
                <w:szCs w:val="20"/>
                <w:u w:val="single"/>
                <w:lang w:eastAsia="en-CA"/>
              </w:rPr>
            </w:pPr>
            <w:proofErr w:type="gramStart"/>
            <w:r w:rsidRPr="006B1C5D">
              <w:rPr>
                <w:sz w:val="20"/>
                <w:szCs w:val="20"/>
                <w:u w:val="single"/>
                <w:lang w:eastAsia="en-CA"/>
              </w:rPr>
              <w:t>$  100,000</w:t>
            </w:r>
            <w:proofErr w:type="gramEnd"/>
          </w:p>
        </w:tc>
        <w:tc>
          <w:tcPr>
            <w:tcW w:w="0" w:type="auto"/>
            <w:vAlign w:val="center"/>
          </w:tcPr>
          <w:p w14:paraId="4A261E8E" w14:textId="77777777" w:rsidR="006B1C5D" w:rsidRPr="006B1C5D" w:rsidRDefault="006B1C5D" w:rsidP="006F1B7A">
            <w:pPr>
              <w:ind w:left="925"/>
              <w:rPr>
                <w:sz w:val="20"/>
                <w:szCs w:val="20"/>
                <w:u w:val="single"/>
                <w:lang w:eastAsia="en-CA"/>
              </w:rPr>
            </w:pPr>
            <w:proofErr w:type="gramStart"/>
            <w:r w:rsidRPr="006B1C5D">
              <w:rPr>
                <w:sz w:val="20"/>
                <w:szCs w:val="20"/>
                <w:u w:val="single"/>
                <w:lang w:eastAsia="en-CA"/>
              </w:rPr>
              <w:t>$  100,000</w:t>
            </w:r>
            <w:proofErr w:type="gramEnd"/>
            <w:r w:rsidRPr="006B1C5D">
              <w:rPr>
                <w:sz w:val="20"/>
                <w:szCs w:val="20"/>
                <w:u w:val="single"/>
                <w:lang w:eastAsia="en-CA"/>
              </w:rPr>
              <w:t xml:space="preserve"> </w:t>
            </w:r>
          </w:p>
        </w:tc>
        <w:tc>
          <w:tcPr>
            <w:tcW w:w="2891" w:type="dxa"/>
            <w:vAlign w:val="center"/>
          </w:tcPr>
          <w:p w14:paraId="336F0661" w14:textId="77777777" w:rsidR="006B1C5D" w:rsidRPr="006B1C5D" w:rsidRDefault="006B1C5D" w:rsidP="006F1B7A">
            <w:pPr>
              <w:rPr>
                <w:sz w:val="20"/>
                <w:szCs w:val="20"/>
                <w:u w:val="single"/>
                <w:lang w:eastAsia="en-CA"/>
              </w:rPr>
            </w:pPr>
            <w:r w:rsidRPr="006B1C5D">
              <w:rPr>
                <w:sz w:val="20"/>
                <w:szCs w:val="20"/>
                <w:lang w:eastAsia="en-CA"/>
              </w:rPr>
              <w:t xml:space="preserve">                    </w:t>
            </w:r>
            <w:r w:rsidRPr="006B1C5D">
              <w:rPr>
                <w:sz w:val="20"/>
                <w:szCs w:val="20"/>
                <w:u w:val="single"/>
                <w:lang w:eastAsia="en-CA"/>
              </w:rPr>
              <w:t>$    100,000</w:t>
            </w:r>
          </w:p>
        </w:tc>
      </w:tr>
      <w:tr w:rsidR="006B1C5D" w:rsidRPr="006B1C5D" w14:paraId="6431CFBA" w14:textId="77777777" w:rsidTr="006F1B7A">
        <w:trPr>
          <w:tblCellSpacing w:w="15" w:type="dxa"/>
        </w:trPr>
        <w:tc>
          <w:tcPr>
            <w:tcW w:w="2700" w:type="dxa"/>
            <w:vAlign w:val="center"/>
          </w:tcPr>
          <w:p w14:paraId="53F60FFC" w14:textId="77777777" w:rsidR="006B1C5D" w:rsidRPr="006B1C5D" w:rsidRDefault="006B1C5D" w:rsidP="006F1B7A">
            <w:pPr>
              <w:rPr>
                <w:b/>
                <w:bCs/>
                <w:sz w:val="20"/>
                <w:szCs w:val="20"/>
                <w:lang w:eastAsia="en-CA"/>
              </w:rPr>
            </w:pPr>
            <w:r w:rsidRPr="006B1C5D">
              <w:rPr>
                <w:b/>
                <w:bCs/>
                <w:sz w:val="20"/>
                <w:szCs w:val="20"/>
                <w:lang w:eastAsia="en-CA"/>
              </w:rPr>
              <w:t xml:space="preserve">Remaining Cash </w:t>
            </w:r>
          </w:p>
        </w:tc>
        <w:tc>
          <w:tcPr>
            <w:tcW w:w="874" w:type="dxa"/>
            <w:vAlign w:val="center"/>
          </w:tcPr>
          <w:p w14:paraId="21D025E4" w14:textId="77777777" w:rsidR="006B1C5D" w:rsidRPr="006B1C5D" w:rsidRDefault="006B1C5D" w:rsidP="006F1B7A">
            <w:pPr>
              <w:rPr>
                <w:b/>
                <w:bCs/>
                <w:sz w:val="20"/>
                <w:szCs w:val="20"/>
                <w:lang w:eastAsia="en-CA"/>
              </w:rPr>
            </w:pPr>
            <w:r w:rsidRPr="006B1C5D">
              <w:rPr>
                <w:b/>
                <w:bCs/>
                <w:sz w:val="20"/>
                <w:szCs w:val="20"/>
                <w:lang w:eastAsia="en-CA"/>
              </w:rPr>
              <w:t>$    17,616</w:t>
            </w:r>
          </w:p>
        </w:tc>
        <w:tc>
          <w:tcPr>
            <w:tcW w:w="0" w:type="auto"/>
            <w:vAlign w:val="center"/>
          </w:tcPr>
          <w:p w14:paraId="494A7285" w14:textId="77777777" w:rsidR="006B1C5D" w:rsidRPr="006B1C5D" w:rsidRDefault="006B1C5D" w:rsidP="006F1B7A">
            <w:pPr>
              <w:ind w:left="925"/>
              <w:rPr>
                <w:b/>
                <w:bCs/>
                <w:sz w:val="20"/>
                <w:szCs w:val="20"/>
                <w:lang w:eastAsia="en-CA"/>
              </w:rPr>
            </w:pPr>
            <w:r w:rsidRPr="006B1C5D">
              <w:rPr>
                <w:b/>
                <w:bCs/>
                <w:sz w:val="20"/>
                <w:szCs w:val="20"/>
                <w:lang w:eastAsia="en-CA"/>
              </w:rPr>
              <w:t>$    29,500</w:t>
            </w:r>
          </w:p>
        </w:tc>
        <w:tc>
          <w:tcPr>
            <w:tcW w:w="2891" w:type="dxa"/>
            <w:vAlign w:val="center"/>
          </w:tcPr>
          <w:p w14:paraId="48183839" w14:textId="77777777" w:rsidR="006B1C5D" w:rsidRPr="006B1C5D" w:rsidRDefault="006B1C5D" w:rsidP="006F1B7A">
            <w:pPr>
              <w:rPr>
                <w:b/>
                <w:bCs/>
                <w:sz w:val="20"/>
                <w:szCs w:val="20"/>
                <w:lang w:eastAsia="en-CA"/>
              </w:rPr>
            </w:pPr>
            <w:r w:rsidRPr="006B1C5D">
              <w:rPr>
                <w:b/>
                <w:bCs/>
                <w:sz w:val="20"/>
                <w:szCs w:val="20"/>
                <w:lang w:eastAsia="en-CA"/>
              </w:rPr>
              <w:t xml:space="preserve">                    $      41,476</w:t>
            </w:r>
          </w:p>
        </w:tc>
      </w:tr>
      <w:tr w:rsidR="006B1C5D" w:rsidRPr="006B1C5D" w14:paraId="3F493AAA" w14:textId="77777777" w:rsidTr="006F1B7A">
        <w:trPr>
          <w:tblCellSpacing w:w="15" w:type="dxa"/>
        </w:trPr>
        <w:tc>
          <w:tcPr>
            <w:tcW w:w="2700" w:type="dxa"/>
            <w:vAlign w:val="center"/>
          </w:tcPr>
          <w:p w14:paraId="65FAF76C" w14:textId="77777777" w:rsidR="006B1C5D" w:rsidRPr="006B1C5D" w:rsidRDefault="006B1C5D" w:rsidP="006F1B7A">
            <w:pPr>
              <w:rPr>
                <w:b/>
                <w:bCs/>
                <w:sz w:val="20"/>
                <w:szCs w:val="20"/>
                <w:lang w:eastAsia="en-CA"/>
              </w:rPr>
            </w:pPr>
          </w:p>
        </w:tc>
        <w:tc>
          <w:tcPr>
            <w:tcW w:w="874" w:type="dxa"/>
            <w:vAlign w:val="center"/>
          </w:tcPr>
          <w:p w14:paraId="67F2D6CE" w14:textId="77777777" w:rsidR="006B1C5D" w:rsidRPr="006B1C5D" w:rsidRDefault="006B1C5D" w:rsidP="006F1B7A">
            <w:pPr>
              <w:rPr>
                <w:sz w:val="20"/>
                <w:szCs w:val="20"/>
                <w:lang w:eastAsia="en-CA"/>
              </w:rPr>
            </w:pPr>
          </w:p>
        </w:tc>
        <w:tc>
          <w:tcPr>
            <w:tcW w:w="0" w:type="auto"/>
            <w:vAlign w:val="center"/>
          </w:tcPr>
          <w:p w14:paraId="6A277E3E" w14:textId="77777777" w:rsidR="006B1C5D" w:rsidRPr="006B1C5D" w:rsidRDefault="006B1C5D" w:rsidP="006F1B7A">
            <w:pPr>
              <w:ind w:left="925"/>
              <w:rPr>
                <w:sz w:val="20"/>
                <w:szCs w:val="20"/>
                <w:lang w:eastAsia="en-CA"/>
              </w:rPr>
            </w:pPr>
          </w:p>
        </w:tc>
        <w:tc>
          <w:tcPr>
            <w:tcW w:w="2891" w:type="dxa"/>
            <w:vAlign w:val="center"/>
          </w:tcPr>
          <w:p w14:paraId="0822EF76" w14:textId="77777777" w:rsidR="006B1C5D" w:rsidRPr="006B1C5D" w:rsidRDefault="006B1C5D" w:rsidP="006F1B7A">
            <w:pPr>
              <w:rPr>
                <w:b/>
                <w:bCs/>
                <w:sz w:val="20"/>
                <w:szCs w:val="20"/>
                <w:lang w:eastAsia="en-CA"/>
              </w:rPr>
            </w:pPr>
          </w:p>
        </w:tc>
      </w:tr>
    </w:tbl>
    <w:p w14:paraId="775C5975" w14:textId="77777777" w:rsidR="006B1C5D" w:rsidRDefault="006B1C5D" w:rsidP="006B1C5D">
      <w:pPr>
        <w:pStyle w:val="Default"/>
        <w:jc w:val="both"/>
      </w:pPr>
    </w:p>
    <w:p w14:paraId="2CE0C535" w14:textId="77777777" w:rsidR="006B1C5D" w:rsidRDefault="006B1C5D" w:rsidP="006B1C5D">
      <w:pPr>
        <w:spacing w:before="100" w:beforeAutospacing="1" w:after="100" w:afterAutospacing="1"/>
        <w:outlineLvl w:val="1"/>
      </w:pPr>
      <w:r>
        <w:t xml:space="preserve"> </w:t>
      </w:r>
    </w:p>
    <w:bookmarkEnd w:id="0"/>
    <w:p w14:paraId="45FA44B7" w14:textId="77777777" w:rsidR="006B1C5D" w:rsidRPr="00E77C0D" w:rsidRDefault="006B1C5D" w:rsidP="006B1C5D">
      <w:pPr>
        <w:pStyle w:val="Default"/>
        <w:jc w:val="center"/>
      </w:pPr>
      <w:r>
        <w:rPr>
          <w:b/>
          <w:bCs/>
          <w:u w:val="single"/>
        </w:rPr>
        <w:br w:type="page"/>
      </w:r>
      <w:r>
        <w:rPr>
          <w:rFonts w:eastAsia="Times New Roman"/>
          <w:b/>
          <w:bCs/>
          <w:sz w:val="36"/>
          <w:szCs w:val="36"/>
        </w:rPr>
        <w:lastRenderedPageBreak/>
        <w:t>Actual Financial Results for the CAMOKO Restaurant Franchise System for Post-COVID Years</w:t>
      </w:r>
      <w:r>
        <w:rPr>
          <w:rStyle w:val="FootnoteReference"/>
          <w:rFonts w:eastAsia="Times New Roman"/>
          <w:b/>
          <w:bCs/>
          <w:sz w:val="36"/>
          <w:szCs w:val="36"/>
        </w:rPr>
        <w:footnoteReference w:id="27"/>
      </w:r>
    </w:p>
    <w:p w14:paraId="2D2AFEBE" w14:textId="77777777" w:rsidR="006B1C5D" w:rsidRPr="00E77C0D" w:rsidRDefault="006B1C5D" w:rsidP="006B1C5D">
      <w:pPr>
        <w:pStyle w:val="Default"/>
        <w:jc w:val="both"/>
      </w:pPr>
      <w:r w:rsidRPr="00E77C0D">
        <w:pict w14:anchorId="281EF77B">
          <v:rect id="_x0000_i1025" style="width:0;height:1.5pt" o:hralign="center" o:hrstd="t" o:hr="t" fillcolor="#a0a0a0" stroked="f"/>
        </w:pict>
      </w:r>
    </w:p>
    <w:p w14:paraId="657B85D4" w14:textId="77777777" w:rsidR="006B1C5D" w:rsidRPr="00E77C0D" w:rsidRDefault="006B1C5D" w:rsidP="006B1C5D">
      <w:pPr>
        <w:pStyle w:val="Default"/>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5"/>
        <w:gridCol w:w="2427"/>
        <w:gridCol w:w="2073"/>
        <w:gridCol w:w="975"/>
      </w:tblGrid>
      <w:tr w:rsidR="006B1C5D" w:rsidRPr="006B1C5D" w14:paraId="42CA6371" w14:textId="77777777" w:rsidTr="006F1B7A">
        <w:trPr>
          <w:tblHeader/>
          <w:tblCellSpacing w:w="15" w:type="dxa"/>
        </w:trPr>
        <w:tc>
          <w:tcPr>
            <w:tcW w:w="2700" w:type="dxa"/>
            <w:vAlign w:val="center"/>
            <w:hideMark/>
          </w:tcPr>
          <w:p w14:paraId="4ECA08CE" w14:textId="77777777" w:rsidR="006B1C5D" w:rsidRPr="006B1C5D" w:rsidRDefault="006B1C5D" w:rsidP="006F1B7A">
            <w:pPr>
              <w:pStyle w:val="Default"/>
              <w:jc w:val="both"/>
              <w:rPr>
                <w:sz w:val="20"/>
                <w:szCs w:val="20"/>
              </w:rPr>
            </w:pPr>
          </w:p>
        </w:tc>
        <w:tc>
          <w:tcPr>
            <w:tcW w:w="2397" w:type="dxa"/>
            <w:vAlign w:val="center"/>
            <w:hideMark/>
          </w:tcPr>
          <w:p w14:paraId="37C0AB2A" w14:textId="77777777" w:rsidR="006B1C5D" w:rsidRPr="006B1C5D" w:rsidRDefault="006B1C5D" w:rsidP="006F1B7A">
            <w:pPr>
              <w:pStyle w:val="Default"/>
              <w:ind w:left="600"/>
              <w:jc w:val="both"/>
              <w:rPr>
                <w:b/>
                <w:bCs/>
                <w:sz w:val="20"/>
                <w:szCs w:val="20"/>
              </w:rPr>
            </w:pPr>
            <w:r w:rsidRPr="006B1C5D">
              <w:rPr>
                <w:b/>
                <w:bCs/>
                <w:sz w:val="20"/>
                <w:szCs w:val="20"/>
              </w:rPr>
              <w:t xml:space="preserve">Year 1 </w:t>
            </w:r>
          </w:p>
        </w:tc>
        <w:tc>
          <w:tcPr>
            <w:tcW w:w="2043" w:type="dxa"/>
            <w:vAlign w:val="center"/>
            <w:hideMark/>
          </w:tcPr>
          <w:p w14:paraId="75734C69" w14:textId="77777777" w:rsidR="006B1C5D" w:rsidRPr="006B1C5D" w:rsidRDefault="006B1C5D" w:rsidP="006F1B7A">
            <w:pPr>
              <w:pStyle w:val="Default"/>
              <w:ind w:right="-420"/>
              <w:jc w:val="both"/>
              <w:rPr>
                <w:b/>
                <w:bCs/>
                <w:sz w:val="20"/>
                <w:szCs w:val="20"/>
              </w:rPr>
            </w:pPr>
            <w:r w:rsidRPr="006B1C5D">
              <w:rPr>
                <w:b/>
                <w:bCs/>
                <w:sz w:val="20"/>
                <w:szCs w:val="20"/>
              </w:rPr>
              <w:t xml:space="preserve">Year 2         </w:t>
            </w:r>
          </w:p>
        </w:tc>
        <w:tc>
          <w:tcPr>
            <w:tcW w:w="0" w:type="auto"/>
            <w:vAlign w:val="center"/>
            <w:hideMark/>
          </w:tcPr>
          <w:p w14:paraId="63475666" w14:textId="77777777" w:rsidR="006B1C5D" w:rsidRPr="006B1C5D" w:rsidRDefault="006B1C5D" w:rsidP="006F1B7A">
            <w:pPr>
              <w:pStyle w:val="Default"/>
              <w:jc w:val="both"/>
              <w:rPr>
                <w:b/>
                <w:bCs/>
                <w:sz w:val="20"/>
                <w:szCs w:val="20"/>
              </w:rPr>
            </w:pPr>
            <w:r w:rsidRPr="006B1C5D">
              <w:rPr>
                <w:b/>
                <w:bCs/>
                <w:sz w:val="20"/>
                <w:szCs w:val="20"/>
              </w:rPr>
              <w:t xml:space="preserve">Year 3 </w:t>
            </w:r>
          </w:p>
        </w:tc>
      </w:tr>
      <w:tr w:rsidR="006B1C5D" w:rsidRPr="006B1C5D" w14:paraId="701AB7D3" w14:textId="77777777" w:rsidTr="006F1B7A">
        <w:trPr>
          <w:tblCellSpacing w:w="15" w:type="dxa"/>
        </w:trPr>
        <w:tc>
          <w:tcPr>
            <w:tcW w:w="2700" w:type="dxa"/>
            <w:vAlign w:val="center"/>
            <w:hideMark/>
          </w:tcPr>
          <w:p w14:paraId="6955BE77" w14:textId="77777777" w:rsidR="006B1C5D" w:rsidRPr="006B1C5D" w:rsidRDefault="006B1C5D" w:rsidP="006F1B7A">
            <w:pPr>
              <w:pStyle w:val="Default"/>
              <w:jc w:val="both"/>
              <w:rPr>
                <w:sz w:val="20"/>
                <w:szCs w:val="20"/>
              </w:rPr>
            </w:pPr>
            <w:r w:rsidRPr="006B1C5D">
              <w:rPr>
                <w:sz w:val="20"/>
                <w:szCs w:val="20"/>
              </w:rPr>
              <w:t>Gross Revenues</w:t>
            </w:r>
            <w:r w:rsidRPr="006B1C5D">
              <w:rPr>
                <w:rStyle w:val="FootnoteReference"/>
                <w:sz w:val="20"/>
                <w:szCs w:val="20"/>
              </w:rPr>
              <w:footnoteReference w:id="28"/>
            </w:r>
          </w:p>
        </w:tc>
        <w:tc>
          <w:tcPr>
            <w:tcW w:w="2397" w:type="dxa"/>
            <w:vAlign w:val="center"/>
            <w:hideMark/>
          </w:tcPr>
          <w:p w14:paraId="1978C1F6" w14:textId="77777777" w:rsidR="006B1C5D" w:rsidRPr="006B1C5D" w:rsidRDefault="006B1C5D" w:rsidP="006F1B7A">
            <w:pPr>
              <w:pStyle w:val="Default"/>
              <w:ind w:left="600"/>
              <w:jc w:val="both"/>
              <w:rPr>
                <w:sz w:val="20"/>
                <w:szCs w:val="20"/>
              </w:rPr>
            </w:pPr>
            <w:r w:rsidRPr="006B1C5D">
              <w:rPr>
                <w:sz w:val="20"/>
                <w:szCs w:val="20"/>
              </w:rPr>
              <w:t>$907,200</w:t>
            </w:r>
          </w:p>
        </w:tc>
        <w:tc>
          <w:tcPr>
            <w:tcW w:w="2043" w:type="dxa"/>
            <w:vAlign w:val="center"/>
            <w:hideMark/>
          </w:tcPr>
          <w:p w14:paraId="48B5AEF7" w14:textId="77777777" w:rsidR="006B1C5D" w:rsidRPr="006B1C5D" w:rsidRDefault="006B1C5D" w:rsidP="006F1B7A">
            <w:pPr>
              <w:pStyle w:val="Default"/>
              <w:jc w:val="both"/>
              <w:rPr>
                <w:sz w:val="20"/>
                <w:szCs w:val="20"/>
              </w:rPr>
            </w:pPr>
            <w:r w:rsidRPr="006B1C5D">
              <w:rPr>
                <w:sz w:val="20"/>
                <w:szCs w:val="20"/>
              </w:rPr>
              <w:t>$1,166,000</w:t>
            </w:r>
          </w:p>
        </w:tc>
        <w:tc>
          <w:tcPr>
            <w:tcW w:w="0" w:type="auto"/>
            <w:vAlign w:val="center"/>
            <w:hideMark/>
          </w:tcPr>
          <w:p w14:paraId="7D062733" w14:textId="77777777" w:rsidR="006B1C5D" w:rsidRPr="006B1C5D" w:rsidRDefault="006B1C5D" w:rsidP="006F1B7A">
            <w:pPr>
              <w:pStyle w:val="Default"/>
              <w:jc w:val="both"/>
              <w:rPr>
                <w:sz w:val="20"/>
                <w:szCs w:val="20"/>
              </w:rPr>
            </w:pPr>
            <w:r w:rsidRPr="006B1C5D">
              <w:rPr>
                <w:sz w:val="20"/>
                <w:szCs w:val="20"/>
              </w:rPr>
              <w:t>$1,428,840</w:t>
            </w:r>
          </w:p>
        </w:tc>
      </w:tr>
      <w:tr w:rsidR="006B1C5D" w:rsidRPr="006B1C5D" w14:paraId="4EB48A2C" w14:textId="77777777" w:rsidTr="006F1B7A">
        <w:trPr>
          <w:tblCellSpacing w:w="15" w:type="dxa"/>
        </w:trPr>
        <w:tc>
          <w:tcPr>
            <w:tcW w:w="2700" w:type="dxa"/>
            <w:vAlign w:val="center"/>
            <w:hideMark/>
          </w:tcPr>
          <w:p w14:paraId="4C0B13DC" w14:textId="77777777" w:rsidR="006B1C5D" w:rsidRPr="006B1C5D" w:rsidRDefault="006B1C5D" w:rsidP="006F1B7A">
            <w:pPr>
              <w:pStyle w:val="Default"/>
              <w:jc w:val="both"/>
              <w:rPr>
                <w:sz w:val="20"/>
                <w:szCs w:val="20"/>
              </w:rPr>
            </w:pPr>
            <w:r w:rsidRPr="006B1C5D">
              <w:rPr>
                <w:sz w:val="20"/>
                <w:szCs w:val="20"/>
              </w:rPr>
              <w:t>COGS (35%)</w:t>
            </w:r>
          </w:p>
        </w:tc>
        <w:tc>
          <w:tcPr>
            <w:tcW w:w="2397" w:type="dxa"/>
            <w:vAlign w:val="center"/>
            <w:hideMark/>
          </w:tcPr>
          <w:p w14:paraId="6005C2A6" w14:textId="77777777" w:rsidR="006B1C5D" w:rsidRPr="006B1C5D" w:rsidRDefault="006B1C5D" w:rsidP="006F1B7A">
            <w:pPr>
              <w:pStyle w:val="Default"/>
              <w:ind w:left="600"/>
              <w:jc w:val="both"/>
              <w:rPr>
                <w:sz w:val="20"/>
                <w:szCs w:val="20"/>
                <w:u w:val="single"/>
              </w:rPr>
            </w:pPr>
            <w:r w:rsidRPr="006B1C5D">
              <w:rPr>
                <w:sz w:val="20"/>
                <w:szCs w:val="20"/>
                <w:u w:val="single"/>
              </w:rPr>
              <w:t>$317,520</w:t>
            </w:r>
          </w:p>
        </w:tc>
        <w:tc>
          <w:tcPr>
            <w:tcW w:w="2043" w:type="dxa"/>
            <w:vAlign w:val="center"/>
            <w:hideMark/>
          </w:tcPr>
          <w:p w14:paraId="58095171" w14:textId="77777777" w:rsidR="006B1C5D" w:rsidRPr="006B1C5D" w:rsidRDefault="006B1C5D" w:rsidP="006F1B7A">
            <w:pPr>
              <w:pStyle w:val="Default"/>
              <w:jc w:val="both"/>
              <w:rPr>
                <w:sz w:val="20"/>
                <w:szCs w:val="20"/>
                <w:u w:val="single"/>
              </w:rPr>
            </w:pPr>
            <w:r w:rsidRPr="006B1C5D">
              <w:rPr>
                <w:sz w:val="20"/>
                <w:szCs w:val="20"/>
                <w:u w:val="single"/>
              </w:rPr>
              <w:t>$   408,100</w:t>
            </w:r>
          </w:p>
        </w:tc>
        <w:tc>
          <w:tcPr>
            <w:tcW w:w="0" w:type="auto"/>
            <w:vAlign w:val="center"/>
            <w:hideMark/>
          </w:tcPr>
          <w:p w14:paraId="78862E8B" w14:textId="77777777" w:rsidR="006B1C5D" w:rsidRPr="006B1C5D" w:rsidRDefault="006B1C5D" w:rsidP="006F1B7A">
            <w:pPr>
              <w:pStyle w:val="Default"/>
              <w:jc w:val="both"/>
              <w:rPr>
                <w:sz w:val="20"/>
                <w:szCs w:val="20"/>
                <w:u w:val="single"/>
              </w:rPr>
            </w:pPr>
            <w:r w:rsidRPr="006B1C5D">
              <w:rPr>
                <w:sz w:val="20"/>
                <w:szCs w:val="20"/>
                <w:u w:val="single"/>
              </w:rPr>
              <w:t>$   500,094</w:t>
            </w:r>
          </w:p>
        </w:tc>
      </w:tr>
      <w:tr w:rsidR="006B1C5D" w:rsidRPr="006B1C5D" w14:paraId="6AC6D027" w14:textId="77777777" w:rsidTr="006F1B7A">
        <w:trPr>
          <w:tblCellSpacing w:w="15" w:type="dxa"/>
        </w:trPr>
        <w:tc>
          <w:tcPr>
            <w:tcW w:w="2700" w:type="dxa"/>
            <w:vAlign w:val="center"/>
            <w:hideMark/>
          </w:tcPr>
          <w:p w14:paraId="7F25A79A" w14:textId="77777777" w:rsidR="006B1C5D" w:rsidRPr="006B1C5D" w:rsidRDefault="006B1C5D" w:rsidP="006F1B7A">
            <w:pPr>
              <w:pStyle w:val="Default"/>
              <w:jc w:val="both"/>
              <w:rPr>
                <w:b/>
                <w:bCs/>
                <w:sz w:val="20"/>
                <w:szCs w:val="20"/>
              </w:rPr>
            </w:pPr>
            <w:r w:rsidRPr="006B1C5D">
              <w:rPr>
                <w:b/>
                <w:bCs/>
                <w:sz w:val="20"/>
                <w:szCs w:val="20"/>
              </w:rPr>
              <w:t>Gross Profit</w:t>
            </w:r>
          </w:p>
        </w:tc>
        <w:tc>
          <w:tcPr>
            <w:tcW w:w="2397" w:type="dxa"/>
            <w:vAlign w:val="center"/>
            <w:hideMark/>
          </w:tcPr>
          <w:p w14:paraId="629BB52E" w14:textId="77777777" w:rsidR="006B1C5D" w:rsidRPr="006B1C5D" w:rsidRDefault="006B1C5D" w:rsidP="006F1B7A">
            <w:pPr>
              <w:pStyle w:val="Default"/>
              <w:ind w:left="600"/>
              <w:jc w:val="both"/>
              <w:rPr>
                <w:b/>
                <w:bCs/>
                <w:sz w:val="20"/>
                <w:szCs w:val="20"/>
              </w:rPr>
            </w:pPr>
            <w:r w:rsidRPr="006B1C5D">
              <w:rPr>
                <w:b/>
                <w:bCs/>
                <w:sz w:val="20"/>
                <w:szCs w:val="20"/>
              </w:rPr>
              <w:t>$589,680</w:t>
            </w:r>
          </w:p>
        </w:tc>
        <w:tc>
          <w:tcPr>
            <w:tcW w:w="2043" w:type="dxa"/>
            <w:vAlign w:val="center"/>
            <w:hideMark/>
          </w:tcPr>
          <w:p w14:paraId="0A8297D5" w14:textId="77777777" w:rsidR="006B1C5D" w:rsidRPr="006B1C5D" w:rsidRDefault="006B1C5D" w:rsidP="006F1B7A">
            <w:pPr>
              <w:pStyle w:val="Default"/>
              <w:jc w:val="both"/>
              <w:rPr>
                <w:b/>
                <w:bCs/>
                <w:sz w:val="20"/>
                <w:szCs w:val="20"/>
              </w:rPr>
            </w:pPr>
            <w:r w:rsidRPr="006B1C5D">
              <w:rPr>
                <w:b/>
                <w:bCs/>
                <w:sz w:val="20"/>
                <w:szCs w:val="20"/>
              </w:rPr>
              <w:t>$   757,900</w:t>
            </w:r>
          </w:p>
        </w:tc>
        <w:tc>
          <w:tcPr>
            <w:tcW w:w="0" w:type="auto"/>
            <w:vAlign w:val="center"/>
            <w:hideMark/>
          </w:tcPr>
          <w:p w14:paraId="4F076BFE" w14:textId="77777777" w:rsidR="006B1C5D" w:rsidRPr="006B1C5D" w:rsidRDefault="006B1C5D" w:rsidP="006F1B7A">
            <w:pPr>
              <w:pStyle w:val="Default"/>
              <w:jc w:val="both"/>
              <w:rPr>
                <w:b/>
                <w:bCs/>
                <w:sz w:val="20"/>
                <w:szCs w:val="20"/>
              </w:rPr>
            </w:pPr>
            <w:r w:rsidRPr="006B1C5D">
              <w:rPr>
                <w:b/>
                <w:bCs/>
                <w:sz w:val="20"/>
                <w:szCs w:val="20"/>
              </w:rPr>
              <w:t>$   928,746</w:t>
            </w:r>
          </w:p>
        </w:tc>
      </w:tr>
      <w:tr w:rsidR="006B1C5D" w:rsidRPr="006B1C5D" w14:paraId="5758020E" w14:textId="77777777" w:rsidTr="006F1B7A">
        <w:trPr>
          <w:tblCellSpacing w:w="15" w:type="dxa"/>
        </w:trPr>
        <w:tc>
          <w:tcPr>
            <w:tcW w:w="2700" w:type="dxa"/>
            <w:vAlign w:val="center"/>
            <w:hideMark/>
          </w:tcPr>
          <w:p w14:paraId="682C630C" w14:textId="77777777" w:rsidR="006B1C5D" w:rsidRPr="006B1C5D" w:rsidRDefault="006B1C5D" w:rsidP="006F1B7A">
            <w:pPr>
              <w:pStyle w:val="Default"/>
              <w:jc w:val="both"/>
              <w:rPr>
                <w:sz w:val="20"/>
                <w:szCs w:val="20"/>
              </w:rPr>
            </w:pPr>
            <w:r w:rsidRPr="006B1C5D">
              <w:rPr>
                <w:sz w:val="20"/>
                <w:szCs w:val="20"/>
              </w:rPr>
              <w:t>Labour (22–25%)</w:t>
            </w:r>
            <w:r w:rsidRPr="006B1C5D">
              <w:rPr>
                <w:rStyle w:val="FootnoteReference"/>
                <w:sz w:val="20"/>
                <w:szCs w:val="20"/>
              </w:rPr>
              <w:footnoteReference w:id="29"/>
            </w:r>
          </w:p>
        </w:tc>
        <w:tc>
          <w:tcPr>
            <w:tcW w:w="2397" w:type="dxa"/>
            <w:vAlign w:val="center"/>
            <w:hideMark/>
          </w:tcPr>
          <w:p w14:paraId="09E0BF5F" w14:textId="77777777" w:rsidR="006B1C5D" w:rsidRPr="006B1C5D" w:rsidRDefault="006B1C5D" w:rsidP="006F1B7A">
            <w:pPr>
              <w:pStyle w:val="Default"/>
              <w:ind w:left="600"/>
              <w:jc w:val="both"/>
              <w:rPr>
                <w:sz w:val="20"/>
                <w:szCs w:val="20"/>
              </w:rPr>
            </w:pPr>
            <w:r w:rsidRPr="006B1C5D">
              <w:rPr>
                <w:sz w:val="20"/>
                <w:szCs w:val="20"/>
              </w:rPr>
              <w:t>$199,600</w:t>
            </w:r>
          </w:p>
        </w:tc>
        <w:tc>
          <w:tcPr>
            <w:tcW w:w="2043" w:type="dxa"/>
            <w:vAlign w:val="center"/>
            <w:hideMark/>
          </w:tcPr>
          <w:p w14:paraId="0E1A443B" w14:textId="77777777" w:rsidR="006B1C5D" w:rsidRPr="006B1C5D" w:rsidRDefault="006B1C5D" w:rsidP="006F1B7A">
            <w:pPr>
              <w:pStyle w:val="Default"/>
              <w:jc w:val="both"/>
              <w:rPr>
                <w:sz w:val="20"/>
                <w:szCs w:val="20"/>
              </w:rPr>
            </w:pPr>
            <w:r w:rsidRPr="006B1C5D">
              <w:rPr>
                <w:sz w:val="20"/>
                <w:szCs w:val="20"/>
              </w:rPr>
              <w:t>$   291,500</w:t>
            </w:r>
          </w:p>
        </w:tc>
        <w:tc>
          <w:tcPr>
            <w:tcW w:w="0" w:type="auto"/>
            <w:vAlign w:val="center"/>
            <w:hideMark/>
          </w:tcPr>
          <w:p w14:paraId="20B83F10" w14:textId="77777777" w:rsidR="006B1C5D" w:rsidRPr="006B1C5D" w:rsidRDefault="006B1C5D" w:rsidP="006F1B7A">
            <w:pPr>
              <w:pStyle w:val="Default"/>
              <w:jc w:val="both"/>
              <w:rPr>
                <w:sz w:val="20"/>
                <w:szCs w:val="20"/>
              </w:rPr>
            </w:pPr>
            <w:r w:rsidRPr="006B1C5D">
              <w:rPr>
                <w:sz w:val="20"/>
                <w:szCs w:val="20"/>
              </w:rPr>
              <w:t>$   357,210</w:t>
            </w:r>
          </w:p>
        </w:tc>
      </w:tr>
      <w:tr w:rsidR="006B1C5D" w:rsidRPr="006B1C5D" w14:paraId="6224FD4E" w14:textId="77777777" w:rsidTr="006F1B7A">
        <w:trPr>
          <w:tblCellSpacing w:w="15" w:type="dxa"/>
        </w:trPr>
        <w:tc>
          <w:tcPr>
            <w:tcW w:w="2700" w:type="dxa"/>
            <w:vAlign w:val="center"/>
            <w:hideMark/>
          </w:tcPr>
          <w:p w14:paraId="6653CA98" w14:textId="77777777" w:rsidR="006B1C5D" w:rsidRPr="006B1C5D" w:rsidRDefault="006B1C5D" w:rsidP="006F1B7A">
            <w:pPr>
              <w:pStyle w:val="Default"/>
              <w:jc w:val="both"/>
              <w:rPr>
                <w:sz w:val="20"/>
                <w:szCs w:val="20"/>
              </w:rPr>
            </w:pPr>
            <w:r w:rsidRPr="006B1C5D">
              <w:rPr>
                <w:sz w:val="20"/>
                <w:szCs w:val="20"/>
              </w:rPr>
              <w:t>Occupancy Costs</w:t>
            </w:r>
          </w:p>
        </w:tc>
        <w:tc>
          <w:tcPr>
            <w:tcW w:w="2397" w:type="dxa"/>
            <w:vAlign w:val="center"/>
            <w:hideMark/>
          </w:tcPr>
          <w:p w14:paraId="37901E8F" w14:textId="77777777" w:rsidR="006B1C5D" w:rsidRPr="006B1C5D" w:rsidRDefault="006B1C5D" w:rsidP="006F1B7A">
            <w:pPr>
              <w:pStyle w:val="Default"/>
              <w:ind w:left="600"/>
              <w:jc w:val="both"/>
              <w:rPr>
                <w:sz w:val="20"/>
                <w:szCs w:val="20"/>
              </w:rPr>
            </w:pPr>
            <w:r w:rsidRPr="006B1C5D">
              <w:rPr>
                <w:sz w:val="20"/>
                <w:szCs w:val="20"/>
              </w:rPr>
              <w:t>$120,000</w:t>
            </w:r>
          </w:p>
        </w:tc>
        <w:tc>
          <w:tcPr>
            <w:tcW w:w="2043" w:type="dxa"/>
            <w:vAlign w:val="center"/>
            <w:hideMark/>
          </w:tcPr>
          <w:p w14:paraId="2EF118A9" w14:textId="77777777" w:rsidR="006B1C5D" w:rsidRPr="006B1C5D" w:rsidRDefault="006B1C5D" w:rsidP="006F1B7A">
            <w:pPr>
              <w:pStyle w:val="Default"/>
              <w:jc w:val="both"/>
              <w:rPr>
                <w:sz w:val="20"/>
                <w:szCs w:val="20"/>
              </w:rPr>
            </w:pPr>
            <w:r w:rsidRPr="006B1C5D">
              <w:rPr>
                <w:sz w:val="20"/>
                <w:szCs w:val="20"/>
              </w:rPr>
              <w:t>$   120,000</w:t>
            </w:r>
          </w:p>
        </w:tc>
        <w:tc>
          <w:tcPr>
            <w:tcW w:w="0" w:type="auto"/>
            <w:vAlign w:val="center"/>
            <w:hideMark/>
          </w:tcPr>
          <w:p w14:paraId="724BD486" w14:textId="77777777" w:rsidR="006B1C5D" w:rsidRPr="006B1C5D" w:rsidRDefault="006B1C5D" w:rsidP="006F1B7A">
            <w:pPr>
              <w:pStyle w:val="Default"/>
              <w:jc w:val="both"/>
              <w:rPr>
                <w:sz w:val="20"/>
                <w:szCs w:val="20"/>
              </w:rPr>
            </w:pPr>
            <w:r w:rsidRPr="006B1C5D">
              <w:rPr>
                <w:sz w:val="20"/>
                <w:szCs w:val="20"/>
              </w:rPr>
              <w:t>$   120,000</w:t>
            </w:r>
          </w:p>
        </w:tc>
      </w:tr>
      <w:tr w:rsidR="006B1C5D" w:rsidRPr="006B1C5D" w14:paraId="3736A008" w14:textId="77777777" w:rsidTr="006F1B7A">
        <w:trPr>
          <w:tblCellSpacing w:w="15" w:type="dxa"/>
        </w:trPr>
        <w:tc>
          <w:tcPr>
            <w:tcW w:w="2700" w:type="dxa"/>
            <w:vAlign w:val="center"/>
            <w:hideMark/>
          </w:tcPr>
          <w:p w14:paraId="40169771" w14:textId="77777777" w:rsidR="006B1C5D" w:rsidRPr="006B1C5D" w:rsidRDefault="006B1C5D" w:rsidP="006F1B7A">
            <w:pPr>
              <w:pStyle w:val="Default"/>
              <w:jc w:val="both"/>
              <w:rPr>
                <w:sz w:val="20"/>
                <w:szCs w:val="20"/>
              </w:rPr>
            </w:pPr>
            <w:r w:rsidRPr="006B1C5D">
              <w:rPr>
                <w:sz w:val="20"/>
                <w:szCs w:val="20"/>
              </w:rPr>
              <w:t>Marketing</w:t>
            </w:r>
          </w:p>
        </w:tc>
        <w:tc>
          <w:tcPr>
            <w:tcW w:w="2397" w:type="dxa"/>
            <w:vAlign w:val="center"/>
            <w:hideMark/>
          </w:tcPr>
          <w:p w14:paraId="3DBC986D" w14:textId="77777777" w:rsidR="006B1C5D" w:rsidRPr="006B1C5D" w:rsidRDefault="006B1C5D" w:rsidP="006F1B7A">
            <w:pPr>
              <w:pStyle w:val="Default"/>
              <w:ind w:left="600"/>
              <w:jc w:val="both"/>
              <w:rPr>
                <w:sz w:val="20"/>
                <w:szCs w:val="20"/>
              </w:rPr>
            </w:pPr>
            <w:proofErr w:type="gramStart"/>
            <w:r w:rsidRPr="006B1C5D">
              <w:rPr>
                <w:sz w:val="20"/>
                <w:szCs w:val="20"/>
              </w:rPr>
              <w:t>$  19,000</w:t>
            </w:r>
            <w:proofErr w:type="gramEnd"/>
          </w:p>
        </w:tc>
        <w:tc>
          <w:tcPr>
            <w:tcW w:w="2043" w:type="dxa"/>
            <w:vAlign w:val="center"/>
            <w:hideMark/>
          </w:tcPr>
          <w:p w14:paraId="0730674A" w14:textId="77777777" w:rsidR="006B1C5D" w:rsidRPr="006B1C5D" w:rsidRDefault="006B1C5D" w:rsidP="006F1B7A">
            <w:pPr>
              <w:pStyle w:val="Default"/>
              <w:jc w:val="both"/>
              <w:rPr>
                <w:sz w:val="20"/>
                <w:szCs w:val="20"/>
              </w:rPr>
            </w:pPr>
            <w:r w:rsidRPr="006B1C5D">
              <w:rPr>
                <w:sz w:val="20"/>
                <w:szCs w:val="20"/>
              </w:rPr>
              <w:t>$     35,000</w:t>
            </w:r>
          </w:p>
        </w:tc>
        <w:tc>
          <w:tcPr>
            <w:tcW w:w="0" w:type="auto"/>
            <w:vAlign w:val="center"/>
            <w:hideMark/>
          </w:tcPr>
          <w:p w14:paraId="66F7459E" w14:textId="77777777" w:rsidR="006B1C5D" w:rsidRPr="006B1C5D" w:rsidRDefault="006B1C5D" w:rsidP="006F1B7A">
            <w:pPr>
              <w:pStyle w:val="Default"/>
              <w:jc w:val="both"/>
              <w:rPr>
                <w:sz w:val="20"/>
                <w:szCs w:val="20"/>
              </w:rPr>
            </w:pPr>
            <w:r w:rsidRPr="006B1C5D">
              <w:rPr>
                <w:sz w:val="20"/>
                <w:szCs w:val="20"/>
              </w:rPr>
              <w:t>$     42,865</w:t>
            </w:r>
          </w:p>
        </w:tc>
      </w:tr>
      <w:tr w:rsidR="006B1C5D" w:rsidRPr="006B1C5D" w14:paraId="72B4DFBF" w14:textId="77777777" w:rsidTr="006F1B7A">
        <w:trPr>
          <w:tblCellSpacing w:w="15" w:type="dxa"/>
        </w:trPr>
        <w:tc>
          <w:tcPr>
            <w:tcW w:w="2700" w:type="dxa"/>
            <w:vAlign w:val="center"/>
            <w:hideMark/>
          </w:tcPr>
          <w:p w14:paraId="45A62062" w14:textId="77777777" w:rsidR="006B1C5D" w:rsidRPr="006B1C5D" w:rsidRDefault="006B1C5D" w:rsidP="006F1B7A">
            <w:pPr>
              <w:pStyle w:val="Default"/>
              <w:jc w:val="both"/>
              <w:rPr>
                <w:sz w:val="20"/>
                <w:szCs w:val="20"/>
              </w:rPr>
            </w:pPr>
            <w:r w:rsidRPr="006B1C5D">
              <w:rPr>
                <w:sz w:val="20"/>
                <w:szCs w:val="20"/>
              </w:rPr>
              <w:t>Other Operating (5%)</w:t>
            </w:r>
          </w:p>
        </w:tc>
        <w:tc>
          <w:tcPr>
            <w:tcW w:w="2397" w:type="dxa"/>
            <w:vAlign w:val="center"/>
            <w:hideMark/>
          </w:tcPr>
          <w:p w14:paraId="11352267" w14:textId="77777777" w:rsidR="006B1C5D" w:rsidRPr="006B1C5D" w:rsidRDefault="006B1C5D" w:rsidP="006F1B7A">
            <w:pPr>
              <w:pStyle w:val="Default"/>
              <w:ind w:left="600"/>
              <w:jc w:val="both"/>
              <w:rPr>
                <w:sz w:val="20"/>
                <w:szCs w:val="20"/>
              </w:rPr>
            </w:pPr>
            <w:proofErr w:type="gramStart"/>
            <w:r w:rsidRPr="006B1C5D">
              <w:rPr>
                <w:sz w:val="20"/>
                <w:szCs w:val="20"/>
              </w:rPr>
              <w:t>$  45,400</w:t>
            </w:r>
            <w:proofErr w:type="gramEnd"/>
          </w:p>
        </w:tc>
        <w:tc>
          <w:tcPr>
            <w:tcW w:w="2043" w:type="dxa"/>
            <w:vAlign w:val="center"/>
            <w:hideMark/>
          </w:tcPr>
          <w:p w14:paraId="3E7571E1" w14:textId="77777777" w:rsidR="006B1C5D" w:rsidRPr="006B1C5D" w:rsidRDefault="006B1C5D" w:rsidP="006F1B7A">
            <w:pPr>
              <w:pStyle w:val="Default"/>
              <w:jc w:val="both"/>
              <w:rPr>
                <w:sz w:val="20"/>
                <w:szCs w:val="20"/>
              </w:rPr>
            </w:pPr>
            <w:r w:rsidRPr="006B1C5D">
              <w:rPr>
                <w:sz w:val="20"/>
                <w:szCs w:val="20"/>
              </w:rPr>
              <w:t>$     58,300</w:t>
            </w:r>
          </w:p>
        </w:tc>
        <w:tc>
          <w:tcPr>
            <w:tcW w:w="0" w:type="auto"/>
            <w:vAlign w:val="center"/>
            <w:hideMark/>
          </w:tcPr>
          <w:p w14:paraId="3A9EA1E0" w14:textId="77777777" w:rsidR="006B1C5D" w:rsidRPr="006B1C5D" w:rsidRDefault="006B1C5D" w:rsidP="006F1B7A">
            <w:pPr>
              <w:pStyle w:val="Default"/>
              <w:jc w:val="both"/>
              <w:rPr>
                <w:sz w:val="20"/>
                <w:szCs w:val="20"/>
              </w:rPr>
            </w:pPr>
            <w:r w:rsidRPr="006B1C5D">
              <w:rPr>
                <w:sz w:val="20"/>
                <w:szCs w:val="20"/>
              </w:rPr>
              <w:t>$     71,442</w:t>
            </w:r>
          </w:p>
        </w:tc>
      </w:tr>
      <w:tr w:rsidR="006B1C5D" w:rsidRPr="006B1C5D" w14:paraId="43EA1BC6" w14:textId="77777777" w:rsidTr="006F1B7A">
        <w:trPr>
          <w:tblCellSpacing w:w="15" w:type="dxa"/>
        </w:trPr>
        <w:tc>
          <w:tcPr>
            <w:tcW w:w="2700" w:type="dxa"/>
            <w:vAlign w:val="center"/>
            <w:hideMark/>
          </w:tcPr>
          <w:p w14:paraId="1FF88645" w14:textId="77777777" w:rsidR="006B1C5D" w:rsidRPr="006B1C5D" w:rsidRDefault="006B1C5D" w:rsidP="006F1B7A">
            <w:pPr>
              <w:pStyle w:val="Default"/>
              <w:jc w:val="both"/>
              <w:rPr>
                <w:sz w:val="20"/>
                <w:szCs w:val="20"/>
              </w:rPr>
            </w:pPr>
            <w:r w:rsidRPr="006B1C5D">
              <w:rPr>
                <w:sz w:val="20"/>
                <w:szCs w:val="20"/>
              </w:rPr>
              <w:t>Franchise Royalty (6%)</w:t>
            </w:r>
          </w:p>
        </w:tc>
        <w:tc>
          <w:tcPr>
            <w:tcW w:w="2397" w:type="dxa"/>
            <w:vAlign w:val="center"/>
            <w:hideMark/>
          </w:tcPr>
          <w:p w14:paraId="1C43BD7D" w14:textId="77777777" w:rsidR="006B1C5D" w:rsidRPr="006B1C5D" w:rsidRDefault="006B1C5D" w:rsidP="006F1B7A">
            <w:pPr>
              <w:pStyle w:val="Default"/>
              <w:ind w:left="600"/>
              <w:jc w:val="both"/>
              <w:rPr>
                <w:sz w:val="20"/>
                <w:szCs w:val="20"/>
              </w:rPr>
            </w:pPr>
            <w:proofErr w:type="gramStart"/>
            <w:r w:rsidRPr="006B1C5D">
              <w:rPr>
                <w:sz w:val="20"/>
                <w:szCs w:val="20"/>
              </w:rPr>
              <w:t>$  54,400</w:t>
            </w:r>
            <w:proofErr w:type="gramEnd"/>
          </w:p>
        </w:tc>
        <w:tc>
          <w:tcPr>
            <w:tcW w:w="2043" w:type="dxa"/>
            <w:vAlign w:val="center"/>
            <w:hideMark/>
          </w:tcPr>
          <w:p w14:paraId="6DC935A1" w14:textId="77777777" w:rsidR="006B1C5D" w:rsidRPr="006B1C5D" w:rsidRDefault="006B1C5D" w:rsidP="006F1B7A">
            <w:pPr>
              <w:pStyle w:val="Default"/>
              <w:jc w:val="both"/>
              <w:rPr>
                <w:sz w:val="20"/>
                <w:szCs w:val="20"/>
              </w:rPr>
            </w:pPr>
            <w:r w:rsidRPr="006B1C5D">
              <w:rPr>
                <w:sz w:val="20"/>
                <w:szCs w:val="20"/>
              </w:rPr>
              <w:t>$    70,000</w:t>
            </w:r>
          </w:p>
        </w:tc>
        <w:tc>
          <w:tcPr>
            <w:tcW w:w="0" w:type="auto"/>
            <w:vAlign w:val="center"/>
            <w:hideMark/>
          </w:tcPr>
          <w:p w14:paraId="5B1B5DCB" w14:textId="77777777" w:rsidR="006B1C5D" w:rsidRPr="006B1C5D" w:rsidRDefault="006B1C5D" w:rsidP="006F1B7A">
            <w:pPr>
              <w:pStyle w:val="Default"/>
              <w:jc w:val="both"/>
              <w:rPr>
                <w:sz w:val="20"/>
                <w:szCs w:val="20"/>
              </w:rPr>
            </w:pPr>
            <w:r w:rsidRPr="006B1C5D">
              <w:rPr>
                <w:sz w:val="20"/>
                <w:szCs w:val="20"/>
              </w:rPr>
              <w:t>$     85,730</w:t>
            </w:r>
          </w:p>
        </w:tc>
      </w:tr>
      <w:tr w:rsidR="006B1C5D" w:rsidRPr="006B1C5D" w14:paraId="66039D67" w14:textId="77777777" w:rsidTr="006F1B7A">
        <w:trPr>
          <w:tblCellSpacing w:w="15" w:type="dxa"/>
        </w:trPr>
        <w:tc>
          <w:tcPr>
            <w:tcW w:w="2700" w:type="dxa"/>
            <w:vAlign w:val="center"/>
            <w:hideMark/>
          </w:tcPr>
          <w:p w14:paraId="07384B68" w14:textId="77777777" w:rsidR="006B1C5D" w:rsidRPr="006B1C5D" w:rsidRDefault="006B1C5D" w:rsidP="006F1B7A">
            <w:pPr>
              <w:pStyle w:val="Default"/>
              <w:jc w:val="both"/>
              <w:rPr>
                <w:sz w:val="20"/>
                <w:szCs w:val="20"/>
              </w:rPr>
            </w:pPr>
            <w:r w:rsidRPr="006B1C5D">
              <w:rPr>
                <w:sz w:val="20"/>
                <w:szCs w:val="20"/>
              </w:rPr>
              <w:t>Adv. Fund (4%)</w:t>
            </w:r>
          </w:p>
        </w:tc>
        <w:tc>
          <w:tcPr>
            <w:tcW w:w="2397" w:type="dxa"/>
            <w:vAlign w:val="center"/>
            <w:hideMark/>
          </w:tcPr>
          <w:p w14:paraId="15B18B68" w14:textId="77777777" w:rsidR="006B1C5D" w:rsidRPr="006B1C5D" w:rsidRDefault="006B1C5D" w:rsidP="006F1B7A">
            <w:pPr>
              <w:pStyle w:val="Default"/>
              <w:ind w:left="600"/>
              <w:jc w:val="both"/>
              <w:rPr>
                <w:sz w:val="20"/>
                <w:szCs w:val="20"/>
                <w:u w:val="single"/>
              </w:rPr>
            </w:pPr>
            <w:proofErr w:type="gramStart"/>
            <w:r w:rsidRPr="006B1C5D">
              <w:rPr>
                <w:sz w:val="20"/>
                <w:szCs w:val="20"/>
                <w:u w:val="single"/>
              </w:rPr>
              <w:t>$  36,300</w:t>
            </w:r>
            <w:proofErr w:type="gramEnd"/>
          </w:p>
        </w:tc>
        <w:tc>
          <w:tcPr>
            <w:tcW w:w="2043" w:type="dxa"/>
            <w:vAlign w:val="center"/>
            <w:hideMark/>
          </w:tcPr>
          <w:p w14:paraId="573DD837" w14:textId="77777777" w:rsidR="006B1C5D" w:rsidRPr="006B1C5D" w:rsidRDefault="006B1C5D" w:rsidP="006F1B7A">
            <w:pPr>
              <w:pStyle w:val="Default"/>
              <w:jc w:val="both"/>
              <w:rPr>
                <w:sz w:val="20"/>
                <w:szCs w:val="20"/>
                <w:u w:val="single"/>
              </w:rPr>
            </w:pPr>
            <w:r w:rsidRPr="006B1C5D">
              <w:rPr>
                <w:sz w:val="20"/>
                <w:szCs w:val="20"/>
                <w:u w:val="single"/>
              </w:rPr>
              <w:t>$    46,600</w:t>
            </w:r>
          </w:p>
        </w:tc>
        <w:tc>
          <w:tcPr>
            <w:tcW w:w="0" w:type="auto"/>
            <w:vAlign w:val="center"/>
            <w:hideMark/>
          </w:tcPr>
          <w:p w14:paraId="7A9CA219" w14:textId="77777777" w:rsidR="006B1C5D" w:rsidRPr="006B1C5D" w:rsidRDefault="006B1C5D" w:rsidP="006F1B7A">
            <w:pPr>
              <w:pStyle w:val="Default"/>
              <w:jc w:val="both"/>
              <w:rPr>
                <w:sz w:val="20"/>
                <w:szCs w:val="20"/>
                <w:u w:val="single"/>
              </w:rPr>
            </w:pPr>
            <w:r w:rsidRPr="006B1C5D">
              <w:rPr>
                <w:sz w:val="20"/>
                <w:szCs w:val="20"/>
                <w:u w:val="single"/>
              </w:rPr>
              <w:t>$     57,154</w:t>
            </w:r>
          </w:p>
        </w:tc>
      </w:tr>
      <w:tr w:rsidR="006B1C5D" w:rsidRPr="006B1C5D" w14:paraId="471A882E" w14:textId="77777777" w:rsidTr="006F1B7A">
        <w:trPr>
          <w:tblCellSpacing w:w="15" w:type="dxa"/>
        </w:trPr>
        <w:tc>
          <w:tcPr>
            <w:tcW w:w="2700" w:type="dxa"/>
            <w:vAlign w:val="center"/>
            <w:hideMark/>
          </w:tcPr>
          <w:p w14:paraId="33BA703B" w14:textId="77777777" w:rsidR="006B1C5D" w:rsidRPr="006B1C5D" w:rsidRDefault="006B1C5D" w:rsidP="006F1B7A">
            <w:pPr>
              <w:pStyle w:val="Default"/>
              <w:jc w:val="both"/>
              <w:rPr>
                <w:b/>
                <w:bCs/>
                <w:sz w:val="20"/>
                <w:szCs w:val="20"/>
              </w:rPr>
            </w:pPr>
            <w:r w:rsidRPr="006B1C5D">
              <w:rPr>
                <w:b/>
                <w:bCs/>
                <w:sz w:val="20"/>
                <w:szCs w:val="20"/>
              </w:rPr>
              <w:t>EBITDA</w:t>
            </w:r>
          </w:p>
        </w:tc>
        <w:tc>
          <w:tcPr>
            <w:tcW w:w="2397" w:type="dxa"/>
            <w:vAlign w:val="center"/>
            <w:hideMark/>
          </w:tcPr>
          <w:p w14:paraId="12704BEC" w14:textId="77777777" w:rsidR="006B1C5D" w:rsidRPr="006B1C5D" w:rsidRDefault="006B1C5D" w:rsidP="006F1B7A">
            <w:pPr>
              <w:pStyle w:val="Default"/>
              <w:ind w:left="600"/>
              <w:jc w:val="both"/>
              <w:rPr>
                <w:b/>
                <w:bCs/>
                <w:sz w:val="20"/>
                <w:szCs w:val="20"/>
              </w:rPr>
            </w:pPr>
            <w:proofErr w:type="gramStart"/>
            <w:r w:rsidRPr="006B1C5D">
              <w:rPr>
                <w:b/>
                <w:bCs/>
                <w:sz w:val="20"/>
                <w:szCs w:val="20"/>
              </w:rPr>
              <w:t>$  95,000</w:t>
            </w:r>
            <w:proofErr w:type="gramEnd"/>
          </w:p>
        </w:tc>
        <w:tc>
          <w:tcPr>
            <w:tcW w:w="2043" w:type="dxa"/>
            <w:vAlign w:val="center"/>
            <w:hideMark/>
          </w:tcPr>
          <w:p w14:paraId="791D50F5" w14:textId="77777777" w:rsidR="006B1C5D" w:rsidRPr="006B1C5D" w:rsidRDefault="006B1C5D" w:rsidP="006F1B7A">
            <w:pPr>
              <w:pStyle w:val="Default"/>
              <w:jc w:val="both"/>
              <w:rPr>
                <w:b/>
                <w:bCs/>
                <w:sz w:val="20"/>
                <w:szCs w:val="20"/>
              </w:rPr>
            </w:pPr>
            <w:proofErr w:type="gramStart"/>
            <w:r w:rsidRPr="006B1C5D">
              <w:rPr>
                <w:b/>
                <w:bCs/>
                <w:sz w:val="20"/>
                <w:szCs w:val="20"/>
              </w:rPr>
              <w:t>$  138,500</w:t>
            </w:r>
            <w:proofErr w:type="gramEnd"/>
          </w:p>
        </w:tc>
        <w:tc>
          <w:tcPr>
            <w:tcW w:w="0" w:type="auto"/>
            <w:vAlign w:val="center"/>
            <w:hideMark/>
          </w:tcPr>
          <w:p w14:paraId="74B7B7FE" w14:textId="77777777" w:rsidR="006B1C5D" w:rsidRPr="006B1C5D" w:rsidRDefault="006B1C5D" w:rsidP="006F1B7A">
            <w:pPr>
              <w:pStyle w:val="Default"/>
              <w:jc w:val="both"/>
              <w:rPr>
                <w:b/>
                <w:bCs/>
                <w:sz w:val="20"/>
                <w:szCs w:val="20"/>
              </w:rPr>
            </w:pPr>
            <w:r w:rsidRPr="006B1C5D">
              <w:rPr>
                <w:b/>
                <w:bCs/>
                <w:sz w:val="20"/>
                <w:szCs w:val="20"/>
              </w:rPr>
              <w:t>$   194,345</w:t>
            </w:r>
          </w:p>
        </w:tc>
      </w:tr>
      <w:tr w:rsidR="006B1C5D" w:rsidRPr="006B1C5D" w14:paraId="0B560471" w14:textId="77777777" w:rsidTr="006F1B7A">
        <w:trPr>
          <w:tblCellSpacing w:w="15" w:type="dxa"/>
        </w:trPr>
        <w:tc>
          <w:tcPr>
            <w:tcW w:w="2700" w:type="dxa"/>
            <w:vAlign w:val="center"/>
            <w:hideMark/>
          </w:tcPr>
          <w:p w14:paraId="5FE71EC1" w14:textId="77777777" w:rsidR="006B1C5D" w:rsidRPr="006B1C5D" w:rsidRDefault="006B1C5D" w:rsidP="006F1B7A">
            <w:pPr>
              <w:pStyle w:val="Default"/>
              <w:jc w:val="both"/>
              <w:rPr>
                <w:sz w:val="20"/>
                <w:szCs w:val="20"/>
              </w:rPr>
            </w:pPr>
            <w:r w:rsidRPr="006B1C5D">
              <w:rPr>
                <w:sz w:val="20"/>
                <w:szCs w:val="20"/>
              </w:rPr>
              <w:t>Interest Expense</w:t>
            </w:r>
          </w:p>
        </w:tc>
        <w:tc>
          <w:tcPr>
            <w:tcW w:w="2397" w:type="dxa"/>
            <w:vAlign w:val="center"/>
            <w:hideMark/>
          </w:tcPr>
          <w:p w14:paraId="4093CE58" w14:textId="77777777" w:rsidR="006B1C5D" w:rsidRPr="006B1C5D" w:rsidRDefault="006B1C5D" w:rsidP="006F1B7A">
            <w:pPr>
              <w:pStyle w:val="Default"/>
              <w:ind w:left="600"/>
              <w:jc w:val="both"/>
              <w:rPr>
                <w:sz w:val="20"/>
                <w:szCs w:val="20"/>
              </w:rPr>
            </w:pPr>
            <w:proofErr w:type="gramStart"/>
            <w:r w:rsidRPr="006B1C5D">
              <w:rPr>
                <w:sz w:val="20"/>
                <w:szCs w:val="20"/>
              </w:rPr>
              <w:t>$  30,000</w:t>
            </w:r>
            <w:proofErr w:type="gramEnd"/>
          </w:p>
        </w:tc>
        <w:tc>
          <w:tcPr>
            <w:tcW w:w="2043" w:type="dxa"/>
            <w:vAlign w:val="center"/>
            <w:hideMark/>
          </w:tcPr>
          <w:p w14:paraId="015FE5F5" w14:textId="77777777" w:rsidR="006B1C5D" w:rsidRPr="006B1C5D" w:rsidRDefault="006B1C5D" w:rsidP="006F1B7A">
            <w:pPr>
              <w:pStyle w:val="Default"/>
              <w:jc w:val="both"/>
              <w:rPr>
                <w:sz w:val="20"/>
                <w:szCs w:val="20"/>
              </w:rPr>
            </w:pPr>
            <w:r w:rsidRPr="006B1C5D">
              <w:rPr>
                <w:sz w:val="20"/>
                <w:szCs w:val="20"/>
              </w:rPr>
              <w:t>$    30,000</w:t>
            </w:r>
          </w:p>
        </w:tc>
        <w:tc>
          <w:tcPr>
            <w:tcW w:w="0" w:type="auto"/>
            <w:vAlign w:val="center"/>
            <w:hideMark/>
          </w:tcPr>
          <w:p w14:paraId="57058F44" w14:textId="77777777" w:rsidR="006B1C5D" w:rsidRPr="006B1C5D" w:rsidRDefault="006B1C5D" w:rsidP="006F1B7A">
            <w:pPr>
              <w:pStyle w:val="Default"/>
              <w:jc w:val="both"/>
              <w:rPr>
                <w:sz w:val="20"/>
                <w:szCs w:val="20"/>
              </w:rPr>
            </w:pPr>
            <w:r w:rsidRPr="006B1C5D">
              <w:rPr>
                <w:sz w:val="20"/>
                <w:szCs w:val="20"/>
              </w:rPr>
              <w:t>$     30,000</w:t>
            </w:r>
          </w:p>
        </w:tc>
      </w:tr>
      <w:tr w:rsidR="006B1C5D" w:rsidRPr="006B1C5D" w14:paraId="2E8AFCD0" w14:textId="77777777" w:rsidTr="006F1B7A">
        <w:trPr>
          <w:tblCellSpacing w:w="15" w:type="dxa"/>
        </w:trPr>
        <w:tc>
          <w:tcPr>
            <w:tcW w:w="2700" w:type="dxa"/>
            <w:vAlign w:val="center"/>
            <w:hideMark/>
          </w:tcPr>
          <w:p w14:paraId="7DF50EBB" w14:textId="77777777" w:rsidR="006B1C5D" w:rsidRPr="006B1C5D" w:rsidRDefault="006B1C5D" w:rsidP="006F1B7A">
            <w:pPr>
              <w:pStyle w:val="Default"/>
              <w:jc w:val="both"/>
              <w:rPr>
                <w:sz w:val="20"/>
                <w:szCs w:val="20"/>
              </w:rPr>
            </w:pPr>
            <w:r w:rsidRPr="006B1C5D">
              <w:rPr>
                <w:sz w:val="20"/>
                <w:szCs w:val="20"/>
              </w:rPr>
              <w:t>Depreciation</w:t>
            </w:r>
          </w:p>
          <w:p w14:paraId="3D43182A" w14:textId="77777777" w:rsidR="006B1C5D" w:rsidRPr="006B1C5D" w:rsidRDefault="006B1C5D" w:rsidP="006F1B7A">
            <w:pPr>
              <w:pStyle w:val="Default"/>
              <w:jc w:val="both"/>
              <w:rPr>
                <w:b/>
                <w:bCs/>
                <w:sz w:val="20"/>
                <w:szCs w:val="20"/>
              </w:rPr>
            </w:pPr>
            <w:r w:rsidRPr="006B1C5D">
              <w:rPr>
                <w:b/>
                <w:bCs/>
                <w:sz w:val="20"/>
                <w:szCs w:val="20"/>
              </w:rPr>
              <w:t xml:space="preserve">Earnings Before Tax </w:t>
            </w:r>
          </w:p>
        </w:tc>
        <w:tc>
          <w:tcPr>
            <w:tcW w:w="2397" w:type="dxa"/>
            <w:vAlign w:val="center"/>
            <w:hideMark/>
          </w:tcPr>
          <w:p w14:paraId="5202E364" w14:textId="77777777" w:rsidR="006B1C5D" w:rsidRPr="006B1C5D" w:rsidRDefault="006B1C5D" w:rsidP="006F1B7A">
            <w:pPr>
              <w:pStyle w:val="Default"/>
              <w:ind w:left="600"/>
              <w:jc w:val="both"/>
              <w:rPr>
                <w:sz w:val="20"/>
                <w:szCs w:val="20"/>
                <w:u w:val="single"/>
              </w:rPr>
            </w:pPr>
            <w:proofErr w:type="gramStart"/>
            <w:r w:rsidRPr="006B1C5D">
              <w:rPr>
                <w:sz w:val="20"/>
                <w:szCs w:val="20"/>
                <w:u w:val="single"/>
              </w:rPr>
              <w:t>$  50,000</w:t>
            </w:r>
            <w:proofErr w:type="gramEnd"/>
            <w:r w:rsidRPr="006B1C5D">
              <w:rPr>
                <w:sz w:val="20"/>
                <w:szCs w:val="20"/>
                <w:u w:val="single"/>
              </w:rPr>
              <w:t xml:space="preserve"> </w:t>
            </w:r>
          </w:p>
          <w:p w14:paraId="53DA4EE4" w14:textId="77777777" w:rsidR="006B1C5D" w:rsidRPr="006B1C5D" w:rsidRDefault="006B1C5D" w:rsidP="006F1B7A">
            <w:pPr>
              <w:pStyle w:val="Default"/>
              <w:ind w:left="600"/>
              <w:jc w:val="both"/>
              <w:rPr>
                <w:b/>
                <w:bCs/>
                <w:sz w:val="20"/>
                <w:szCs w:val="20"/>
              </w:rPr>
            </w:pPr>
            <w:proofErr w:type="gramStart"/>
            <w:r w:rsidRPr="006B1C5D">
              <w:rPr>
                <w:b/>
                <w:bCs/>
                <w:sz w:val="20"/>
                <w:szCs w:val="20"/>
              </w:rPr>
              <w:t>$  15,000</w:t>
            </w:r>
            <w:proofErr w:type="gramEnd"/>
          </w:p>
        </w:tc>
        <w:tc>
          <w:tcPr>
            <w:tcW w:w="2043" w:type="dxa"/>
            <w:vAlign w:val="center"/>
            <w:hideMark/>
          </w:tcPr>
          <w:p w14:paraId="79115951" w14:textId="77777777" w:rsidR="006B1C5D" w:rsidRPr="006B1C5D" w:rsidRDefault="006B1C5D" w:rsidP="006F1B7A">
            <w:pPr>
              <w:pStyle w:val="Default"/>
              <w:jc w:val="both"/>
              <w:rPr>
                <w:sz w:val="20"/>
                <w:szCs w:val="20"/>
                <w:u w:val="single"/>
              </w:rPr>
            </w:pPr>
            <w:r w:rsidRPr="006B1C5D">
              <w:rPr>
                <w:sz w:val="20"/>
                <w:szCs w:val="20"/>
                <w:u w:val="single"/>
              </w:rPr>
              <w:t xml:space="preserve">$    50,000  </w:t>
            </w:r>
          </w:p>
          <w:p w14:paraId="299C661F" w14:textId="77777777" w:rsidR="006B1C5D" w:rsidRPr="006B1C5D" w:rsidRDefault="006B1C5D" w:rsidP="006F1B7A">
            <w:pPr>
              <w:pStyle w:val="Default"/>
              <w:jc w:val="both"/>
              <w:rPr>
                <w:b/>
                <w:bCs/>
                <w:sz w:val="20"/>
                <w:szCs w:val="20"/>
              </w:rPr>
            </w:pPr>
            <w:r w:rsidRPr="006B1C5D">
              <w:rPr>
                <w:b/>
                <w:bCs/>
                <w:sz w:val="20"/>
                <w:szCs w:val="20"/>
              </w:rPr>
              <w:t>$    58,500</w:t>
            </w:r>
          </w:p>
        </w:tc>
        <w:tc>
          <w:tcPr>
            <w:tcW w:w="0" w:type="auto"/>
            <w:vAlign w:val="center"/>
            <w:hideMark/>
          </w:tcPr>
          <w:p w14:paraId="70068A1A" w14:textId="77777777" w:rsidR="006B1C5D" w:rsidRPr="006B1C5D" w:rsidRDefault="006B1C5D" w:rsidP="006F1B7A">
            <w:pPr>
              <w:pStyle w:val="Default"/>
              <w:jc w:val="both"/>
              <w:rPr>
                <w:sz w:val="20"/>
                <w:szCs w:val="20"/>
                <w:u w:val="single"/>
              </w:rPr>
            </w:pPr>
            <w:r w:rsidRPr="006B1C5D">
              <w:rPr>
                <w:sz w:val="20"/>
                <w:szCs w:val="20"/>
                <w:u w:val="single"/>
              </w:rPr>
              <w:t>$     50,000</w:t>
            </w:r>
          </w:p>
          <w:p w14:paraId="45ECF54A" w14:textId="77777777" w:rsidR="006B1C5D" w:rsidRPr="006B1C5D" w:rsidRDefault="006B1C5D" w:rsidP="006F1B7A">
            <w:pPr>
              <w:pStyle w:val="Default"/>
              <w:jc w:val="both"/>
              <w:rPr>
                <w:b/>
                <w:bCs/>
                <w:sz w:val="20"/>
                <w:szCs w:val="20"/>
              </w:rPr>
            </w:pPr>
            <w:r w:rsidRPr="006B1C5D">
              <w:rPr>
                <w:b/>
                <w:bCs/>
                <w:sz w:val="20"/>
                <w:szCs w:val="20"/>
              </w:rPr>
              <w:t>$   114,345</w:t>
            </w:r>
          </w:p>
        </w:tc>
      </w:tr>
      <w:tr w:rsidR="006B1C5D" w:rsidRPr="006B1C5D" w14:paraId="0EAC163C" w14:textId="77777777" w:rsidTr="006F1B7A">
        <w:trPr>
          <w:tblCellSpacing w:w="15" w:type="dxa"/>
        </w:trPr>
        <w:tc>
          <w:tcPr>
            <w:tcW w:w="2700" w:type="dxa"/>
            <w:vAlign w:val="center"/>
            <w:hideMark/>
          </w:tcPr>
          <w:p w14:paraId="251184BE" w14:textId="77777777" w:rsidR="006B1C5D" w:rsidRPr="006B1C5D" w:rsidRDefault="006B1C5D" w:rsidP="006F1B7A">
            <w:pPr>
              <w:pStyle w:val="Default"/>
              <w:jc w:val="both"/>
              <w:rPr>
                <w:sz w:val="20"/>
                <w:szCs w:val="20"/>
              </w:rPr>
            </w:pPr>
            <w:r w:rsidRPr="006B1C5D">
              <w:rPr>
                <w:sz w:val="20"/>
                <w:szCs w:val="20"/>
              </w:rPr>
              <w:t>Taxes</w:t>
            </w:r>
          </w:p>
          <w:p w14:paraId="2C1E23F3" w14:textId="77777777" w:rsidR="006B1C5D" w:rsidRPr="006B1C5D" w:rsidRDefault="006B1C5D" w:rsidP="006F1B7A">
            <w:pPr>
              <w:pStyle w:val="Default"/>
              <w:jc w:val="both"/>
              <w:rPr>
                <w:b/>
                <w:bCs/>
                <w:sz w:val="20"/>
                <w:szCs w:val="20"/>
              </w:rPr>
            </w:pPr>
            <w:r w:rsidRPr="006B1C5D">
              <w:rPr>
                <w:b/>
                <w:bCs/>
                <w:sz w:val="20"/>
                <w:szCs w:val="20"/>
              </w:rPr>
              <w:t>Earnings After Tax</w:t>
            </w:r>
          </w:p>
          <w:p w14:paraId="1B55DA3A" w14:textId="77777777" w:rsidR="006B1C5D" w:rsidRPr="006B1C5D" w:rsidRDefault="006B1C5D" w:rsidP="006F1B7A">
            <w:pPr>
              <w:pStyle w:val="Default"/>
              <w:jc w:val="both"/>
              <w:rPr>
                <w:sz w:val="20"/>
                <w:szCs w:val="20"/>
              </w:rPr>
            </w:pPr>
            <w:r w:rsidRPr="006B1C5D">
              <w:rPr>
                <w:sz w:val="20"/>
                <w:szCs w:val="20"/>
              </w:rPr>
              <w:t>Add: Depreciation</w:t>
            </w:r>
          </w:p>
        </w:tc>
        <w:tc>
          <w:tcPr>
            <w:tcW w:w="2397" w:type="dxa"/>
            <w:vAlign w:val="center"/>
            <w:hideMark/>
          </w:tcPr>
          <w:p w14:paraId="47A19858" w14:textId="77777777" w:rsidR="006B1C5D" w:rsidRPr="006B1C5D" w:rsidRDefault="006B1C5D" w:rsidP="006F1B7A">
            <w:pPr>
              <w:pStyle w:val="Default"/>
              <w:ind w:left="600"/>
              <w:jc w:val="both"/>
              <w:rPr>
                <w:sz w:val="20"/>
                <w:szCs w:val="20"/>
                <w:u w:val="single"/>
              </w:rPr>
            </w:pPr>
            <w:r w:rsidRPr="006B1C5D">
              <w:rPr>
                <w:sz w:val="20"/>
                <w:szCs w:val="20"/>
                <w:u w:val="single"/>
              </w:rPr>
              <w:t>$    3,000</w:t>
            </w:r>
          </w:p>
          <w:p w14:paraId="1D5E476E" w14:textId="77777777" w:rsidR="006B1C5D" w:rsidRPr="006B1C5D" w:rsidRDefault="006B1C5D" w:rsidP="006F1B7A">
            <w:pPr>
              <w:pStyle w:val="Default"/>
              <w:ind w:left="600"/>
              <w:jc w:val="both"/>
              <w:rPr>
                <w:sz w:val="20"/>
                <w:szCs w:val="20"/>
                <w:u w:val="single"/>
              </w:rPr>
            </w:pPr>
            <w:proofErr w:type="gramStart"/>
            <w:r w:rsidRPr="006B1C5D">
              <w:rPr>
                <w:sz w:val="20"/>
                <w:szCs w:val="20"/>
                <w:u w:val="single"/>
              </w:rPr>
              <w:t>$  12,000</w:t>
            </w:r>
            <w:proofErr w:type="gramEnd"/>
          </w:p>
          <w:p w14:paraId="44E70A2C" w14:textId="77777777" w:rsidR="006B1C5D" w:rsidRPr="006B1C5D" w:rsidRDefault="006B1C5D" w:rsidP="006F1B7A">
            <w:pPr>
              <w:pStyle w:val="Default"/>
              <w:ind w:left="600"/>
              <w:jc w:val="both"/>
              <w:rPr>
                <w:sz w:val="20"/>
                <w:szCs w:val="20"/>
                <w:u w:val="single"/>
              </w:rPr>
            </w:pPr>
            <w:proofErr w:type="gramStart"/>
            <w:r w:rsidRPr="006B1C5D">
              <w:rPr>
                <w:sz w:val="20"/>
                <w:szCs w:val="20"/>
                <w:u w:val="single"/>
              </w:rPr>
              <w:t>$  50,000</w:t>
            </w:r>
            <w:proofErr w:type="gramEnd"/>
          </w:p>
        </w:tc>
        <w:tc>
          <w:tcPr>
            <w:tcW w:w="2043" w:type="dxa"/>
            <w:vAlign w:val="center"/>
            <w:hideMark/>
          </w:tcPr>
          <w:p w14:paraId="6E7E1133" w14:textId="77777777" w:rsidR="006B1C5D" w:rsidRPr="006B1C5D" w:rsidRDefault="006B1C5D" w:rsidP="006F1B7A">
            <w:pPr>
              <w:pStyle w:val="Default"/>
              <w:jc w:val="both"/>
              <w:rPr>
                <w:sz w:val="20"/>
                <w:szCs w:val="20"/>
                <w:u w:val="single"/>
              </w:rPr>
            </w:pPr>
            <w:r w:rsidRPr="006B1C5D">
              <w:rPr>
                <w:sz w:val="20"/>
                <w:szCs w:val="20"/>
                <w:u w:val="single"/>
              </w:rPr>
              <w:t>$    11,700</w:t>
            </w:r>
          </w:p>
          <w:p w14:paraId="7566BBD9" w14:textId="77777777" w:rsidR="006B1C5D" w:rsidRPr="006B1C5D" w:rsidRDefault="006B1C5D" w:rsidP="006F1B7A">
            <w:pPr>
              <w:pStyle w:val="Default"/>
              <w:jc w:val="both"/>
              <w:rPr>
                <w:b/>
                <w:bCs/>
                <w:sz w:val="20"/>
                <w:szCs w:val="20"/>
                <w:u w:val="single"/>
              </w:rPr>
            </w:pPr>
            <w:r w:rsidRPr="006B1C5D">
              <w:rPr>
                <w:b/>
                <w:bCs/>
                <w:sz w:val="20"/>
                <w:szCs w:val="20"/>
              </w:rPr>
              <w:t>$    46,800</w:t>
            </w:r>
          </w:p>
          <w:p w14:paraId="01416A73" w14:textId="77777777" w:rsidR="006B1C5D" w:rsidRPr="006B1C5D" w:rsidRDefault="006B1C5D" w:rsidP="006F1B7A">
            <w:pPr>
              <w:pStyle w:val="Default"/>
              <w:jc w:val="both"/>
              <w:rPr>
                <w:sz w:val="20"/>
                <w:szCs w:val="20"/>
                <w:u w:val="single"/>
              </w:rPr>
            </w:pPr>
            <w:r w:rsidRPr="006B1C5D">
              <w:rPr>
                <w:sz w:val="20"/>
                <w:szCs w:val="20"/>
                <w:u w:val="single"/>
              </w:rPr>
              <w:t>$    50,000</w:t>
            </w:r>
          </w:p>
        </w:tc>
        <w:tc>
          <w:tcPr>
            <w:tcW w:w="0" w:type="auto"/>
            <w:vAlign w:val="center"/>
            <w:hideMark/>
          </w:tcPr>
          <w:p w14:paraId="459D5F92" w14:textId="77777777" w:rsidR="006B1C5D" w:rsidRPr="006B1C5D" w:rsidRDefault="006B1C5D" w:rsidP="006F1B7A">
            <w:pPr>
              <w:pStyle w:val="Default"/>
              <w:jc w:val="both"/>
              <w:rPr>
                <w:sz w:val="20"/>
                <w:szCs w:val="20"/>
                <w:u w:val="single"/>
              </w:rPr>
            </w:pPr>
            <w:r w:rsidRPr="006B1C5D">
              <w:rPr>
                <w:sz w:val="20"/>
                <w:szCs w:val="20"/>
                <w:u w:val="single"/>
              </w:rPr>
              <w:t>$     22,869</w:t>
            </w:r>
          </w:p>
          <w:p w14:paraId="41683ACF" w14:textId="77777777" w:rsidR="006B1C5D" w:rsidRPr="006B1C5D" w:rsidRDefault="006B1C5D" w:rsidP="006F1B7A">
            <w:pPr>
              <w:pStyle w:val="Default"/>
              <w:jc w:val="both"/>
              <w:rPr>
                <w:b/>
                <w:bCs/>
                <w:sz w:val="20"/>
                <w:szCs w:val="20"/>
              </w:rPr>
            </w:pPr>
            <w:r w:rsidRPr="006B1C5D">
              <w:rPr>
                <w:b/>
                <w:bCs/>
                <w:sz w:val="20"/>
                <w:szCs w:val="20"/>
              </w:rPr>
              <w:t>$     91,476</w:t>
            </w:r>
          </w:p>
          <w:p w14:paraId="56A4E32D" w14:textId="77777777" w:rsidR="006B1C5D" w:rsidRPr="006B1C5D" w:rsidRDefault="006B1C5D" w:rsidP="006F1B7A">
            <w:pPr>
              <w:pStyle w:val="Default"/>
              <w:jc w:val="both"/>
              <w:rPr>
                <w:sz w:val="20"/>
                <w:szCs w:val="20"/>
                <w:u w:val="single"/>
              </w:rPr>
            </w:pPr>
            <w:r w:rsidRPr="006B1C5D">
              <w:rPr>
                <w:sz w:val="20"/>
                <w:szCs w:val="20"/>
                <w:u w:val="single"/>
              </w:rPr>
              <w:t>$     50,000</w:t>
            </w:r>
          </w:p>
        </w:tc>
      </w:tr>
      <w:tr w:rsidR="006B1C5D" w:rsidRPr="006B1C5D" w14:paraId="54403F8A" w14:textId="77777777" w:rsidTr="006F1B7A">
        <w:trPr>
          <w:tblCellSpacing w:w="15" w:type="dxa"/>
        </w:trPr>
        <w:tc>
          <w:tcPr>
            <w:tcW w:w="2700" w:type="dxa"/>
            <w:vAlign w:val="center"/>
            <w:hideMark/>
          </w:tcPr>
          <w:p w14:paraId="7ADDA9F3" w14:textId="77777777" w:rsidR="006B1C5D" w:rsidRPr="006B1C5D" w:rsidRDefault="006B1C5D" w:rsidP="006F1B7A">
            <w:pPr>
              <w:pStyle w:val="Default"/>
              <w:jc w:val="both"/>
              <w:rPr>
                <w:b/>
                <w:bCs/>
                <w:sz w:val="20"/>
                <w:szCs w:val="20"/>
              </w:rPr>
            </w:pPr>
            <w:r w:rsidRPr="006B1C5D">
              <w:rPr>
                <w:b/>
                <w:bCs/>
                <w:sz w:val="20"/>
                <w:szCs w:val="20"/>
              </w:rPr>
              <w:t>Cash After Tax</w:t>
            </w:r>
          </w:p>
        </w:tc>
        <w:tc>
          <w:tcPr>
            <w:tcW w:w="2397" w:type="dxa"/>
            <w:vAlign w:val="center"/>
            <w:hideMark/>
          </w:tcPr>
          <w:p w14:paraId="24CDCB49" w14:textId="77777777" w:rsidR="006B1C5D" w:rsidRPr="006B1C5D" w:rsidRDefault="006B1C5D" w:rsidP="006F1B7A">
            <w:pPr>
              <w:pStyle w:val="Default"/>
              <w:ind w:left="600"/>
              <w:jc w:val="both"/>
              <w:rPr>
                <w:b/>
                <w:bCs/>
                <w:sz w:val="20"/>
                <w:szCs w:val="20"/>
              </w:rPr>
            </w:pPr>
            <w:proofErr w:type="gramStart"/>
            <w:r w:rsidRPr="006B1C5D">
              <w:rPr>
                <w:b/>
                <w:bCs/>
                <w:sz w:val="20"/>
                <w:szCs w:val="20"/>
              </w:rPr>
              <w:t>$  62,000</w:t>
            </w:r>
            <w:proofErr w:type="gramEnd"/>
          </w:p>
        </w:tc>
        <w:tc>
          <w:tcPr>
            <w:tcW w:w="2043" w:type="dxa"/>
            <w:vAlign w:val="center"/>
            <w:hideMark/>
          </w:tcPr>
          <w:p w14:paraId="05FC7AAD" w14:textId="77777777" w:rsidR="006B1C5D" w:rsidRPr="006B1C5D" w:rsidRDefault="006B1C5D" w:rsidP="006F1B7A">
            <w:pPr>
              <w:pStyle w:val="Default"/>
              <w:jc w:val="both"/>
              <w:rPr>
                <w:b/>
                <w:bCs/>
                <w:sz w:val="20"/>
                <w:szCs w:val="20"/>
              </w:rPr>
            </w:pPr>
            <w:r w:rsidRPr="006B1C5D">
              <w:rPr>
                <w:b/>
                <w:bCs/>
                <w:sz w:val="20"/>
                <w:szCs w:val="20"/>
              </w:rPr>
              <w:t>$    96,800</w:t>
            </w:r>
          </w:p>
        </w:tc>
        <w:tc>
          <w:tcPr>
            <w:tcW w:w="0" w:type="auto"/>
            <w:vAlign w:val="center"/>
            <w:hideMark/>
          </w:tcPr>
          <w:p w14:paraId="41FAF971" w14:textId="77777777" w:rsidR="006B1C5D" w:rsidRPr="006B1C5D" w:rsidRDefault="006B1C5D" w:rsidP="006F1B7A">
            <w:pPr>
              <w:pStyle w:val="Default"/>
              <w:jc w:val="both"/>
              <w:rPr>
                <w:b/>
                <w:bCs/>
                <w:sz w:val="20"/>
                <w:szCs w:val="20"/>
              </w:rPr>
            </w:pPr>
            <w:r w:rsidRPr="006B1C5D">
              <w:rPr>
                <w:b/>
                <w:bCs/>
                <w:sz w:val="20"/>
                <w:szCs w:val="20"/>
              </w:rPr>
              <w:t>$   141,476</w:t>
            </w:r>
          </w:p>
        </w:tc>
      </w:tr>
    </w:tbl>
    <w:p w14:paraId="3FD262A8" w14:textId="77777777" w:rsidR="006B1C5D" w:rsidRPr="006B1C5D" w:rsidRDefault="006B1C5D" w:rsidP="006B1C5D">
      <w:pPr>
        <w:pStyle w:val="Default"/>
        <w:jc w:val="both"/>
        <w:rPr>
          <w:sz w:val="20"/>
          <w:szCs w:val="20"/>
        </w:rPr>
      </w:pPr>
      <w:r w:rsidRPr="006B1C5D">
        <w:rPr>
          <w:sz w:val="20"/>
          <w:szCs w:val="20"/>
        </w:rPr>
        <w:t>Loan Repayment</w:t>
      </w:r>
      <w:r w:rsidRPr="006B1C5D">
        <w:rPr>
          <w:sz w:val="20"/>
          <w:szCs w:val="20"/>
        </w:rPr>
        <w:tab/>
      </w:r>
      <w:r w:rsidRPr="006B1C5D">
        <w:rPr>
          <w:sz w:val="20"/>
          <w:szCs w:val="20"/>
        </w:rPr>
        <w:tab/>
        <w:t xml:space="preserve">       </w:t>
      </w:r>
      <w:r w:rsidRPr="006B1C5D">
        <w:rPr>
          <w:sz w:val="20"/>
          <w:szCs w:val="20"/>
          <w:u w:val="single"/>
        </w:rPr>
        <w:t>$100,000</w:t>
      </w:r>
      <w:r w:rsidRPr="006B1C5D">
        <w:rPr>
          <w:sz w:val="20"/>
          <w:szCs w:val="20"/>
          <w:u w:val="single"/>
        </w:rPr>
        <w:tab/>
      </w:r>
      <w:proofErr w:type="gramStart"/>
      <w:r w:rsidRPr="006B1C5D">
        <w:rPr>
          <w:sz w:val="20"/>
          <w:szCs w:val="20"/>
          <w:u w:val="single"/>
        </w:rPr>
        <w:tab/>
        <w:t xml:space="preserve">  $</w:t>
      </w:r>
      <w:proofErr w:type="gramEnd"/>
      <w:r w:rsidRPr="006B1C5D">
        <w:rPr>
          <w:sz w:val="20"/>
          <w:szCs w:val="20"/>
          <w:u w:val="single"/>
        </w:rPr>
        <w:t xml:space="preserve">  100,000</w:t>
      </w:r>
      <w:r w:rsidRPr="006B1C5D">
        <w:rPr>
          <w:sz w:val="20"/>
          <w:szCs w:val="20"/>
          <w:u w:val="single"/>
        </w:rPr>
        <w:tab/>
      </w:r>
      <w:r w:rsidRPr="006B1C5D">
        <w:rPr>
          <w:sz w:val="20"/>
          <w:szCs w:val="20"/>
          <w:u w:val="single"/>
        </w:rPr>
        <w:tab/>
        <w:t>$   100,000</w:t>
      </w:r>
      <w:r w:rsidRPr="006B1C5D">
        <w:rPr>
          <w:sz w:val="20"/>
          <w:szCs w:val="20"/>
        </w:rPr>
        <w:tab/>
      </w:r>
    </w:p>
    <w:p w14:paraId="051F927D" w14:textId="77777777" w:rsidR="006B1C5D" w:rsidRPr="006B1C5D" w:rsidRDefault="006B1C5D" w:rsidP="006B1C5D">
      <w:pPr>
        <w:pStyle w:val="Default"/>
        <w:jc w:val="both"/>
        <w:rPr>
          <w:b/>
          <w:bCs/>
          <w:sz w:val="20"/>
          <w:szCs w:val="20"/>
        </w:rPr>
      </w:pPr>
      <w:r w:rsidRPr="006B1C5D">
        <w:rPr>
          <w:b/>
          <w:bCs/>
          <w:sz w:val="20"/>
          <w:szCs w:val="20"/>
        </w:rPr>
        <w:t>Remaining Cash</w:t>
      </w:r>
      <w:r w:rsidRPr="006B1C5D">
        <w:rPr>
          <w:rStyle w:val="FootnoteReference"/>
          <w:b/>
          <w:bCs/>
          <w:sz w:val="20"/>
          <w:szCs w:val="20"/>
        </w:rPr>
        <w:footnoteReference w:id="30"/>
      </w:r>
      <w:r w:rsidRPr="006B1C5D">
        <w:rPr>
          <w:b/>
          <w:bCs/>
          <w:sz w:val="20"/>
          <w:szCs w:val="20"/>
        </w:rPr>
        <w:tab/>
      </w:r>
      <w:r w:rsidRPr="006B1C5D">
        <w:rPr>
          <w:b/>
          <w:bCs/>
          <w:sz w:val="20"/>
          <w:szCs w:val="20"/>
        </w:rPr>
        <w:tab/>
        <w:t xml:space="preserve">   </w:t>
      </w:r>
      <w:proofErr w:type="gramStart"/>
      <w:r w:rsidRPr="006B1C5D">
        <w:rPr>
          <w:b/>
          <w:bCs/>
          <w:sz w:val="20"/>
          <w:szCs w:val="20"/>
        </w:rPr>
        <w:t xml:space="preserve">   (</w:t>
      </w:r>
      <w:proofErr w:type="gramEnd"/>
      <w:r w:rsidRPr="006B1C5D">
        <w:rPr>
          <w:b/>
          <w:bCs/>
          <w:sz w:val="20"/>
          <w:szCs w:val="20"/>
        </w:rPr>
        <w:t>$  38,000)</w:t>
      </w:r>
      <w:r w:rsidRPr="006B1C5D">
        <w:rPr>
          <w:b/>
          <w:bCs/>
          <w:sz w:val="20"/>
          <w:szCs w:val="20"/>
        </w:rPr>
        <w:tab/>
      </w:r>
      <w:r w:rsidRPr="006B1C5D">
        <w:rPr>
          <w:b/>
          <w:bCs/>
          <w:sz w:val="20"/>
          <w:szCs w:val="20"/>
        </w:rPr>
        <w:tab/>
        <w:t>($      3,200)</w:t>
      </w:r>
      <w:r w:rsidRPr="006B1C5D">
        <w:rPr>
          <w:b/>
          <w:bCs/>
          <w:sz w:val="20"/>
          <w:szCs w:val="20"/>
        </w:rPr>
        <w:tab/>
      </w:r>
      <w:r w:rsidRPr="006B1C5D">
        <w:rPr>
          <w:b/>
          <w:bCs/>
          <w:sz w:val="20"/>
          <w:szCs w:val="20"/>
        </w:rPr>
        <w:tab/>
        <w:t>$     41,476</w:t>
      </w:r>
    </w:p>
    <w:p w14:paraId="27437584" w14:textId="77777777" w:rsidR="006B1C5D" w:rsidRDefault="006B1C5D" w:rsidP="006B1C5D">
      <w:pPr>
        <w:pStyle w:val="Default"/>
        <w:jc w:val="both"/>
      </w:pPr>
    </w:p>
    <w:p w14:paraId="620013F4" w14:textId="77777777" w:rsidR="006B1C5D" w:rsidRPr="00E77C0D" w:rsidRDefault="006B1C5D" w:rsidP="006B1C5D">
      <w:pPr>
        <w:pStyle w:val="Default"/>
        <w:jc w:val="both"/>
      </w:pPr>
    </w:p>
    <w:p w14:paraId="380A7106" w14:textId="77777777" w:rsidR="006B1C5D" w:rsidRPr="00CC3B05" w:rsidRDefault="006B1C5D" w:rsidP="006B1C5D">
      <w:pPr>
        <w:pStyle w:val="Default"/>
        <w:jc w:val="center"/>
      </w:pPr>
      <w:r>
        <w:rPr>
          <w:b/>
          <w:bCs/>
          <w:u w:val="single"/>
        </w:rPr>
        <w:br w:type="page"/>
      </w:r>
      <w:r>
        <w:rPr>
          <w:rFonts w:eastAsia="Times New Roman"/>
          <w:b/>
          <w:bCs/>
          <w:sz w:val="36"/>
          <w:szCs w:val="36"/>
        </w:rPr>
        <w:lastRenderedPageBreak/>
        <w:t>Actual Financial Results for the CAMOKO Restaurant Franchise System for the Recession/Increased Cost Years</w:t>
      </w:r>
    </w:p>
    <w:p w14:paraId="039ED6EA" w14:textId="77777777" w:rsidR="006B1C5D" w:rsidRPr="001336ED" w:rsidRDefault="006B1C5D" w:rsidP="006B1C5D">
      <w:pPr>
        <w:pStyle w:val="Default"/>
        <w:jc w:val="cente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6"/>
        <w:gridCol w:w="994"/>
        <w:gridCol w:w="1906"/>
        <w:gridCol w:w="283"/>
        <w:gridCol w:w="2126"/>
        <w:gridCol w:w="283"/>
      </w:tblGrid>
      <w:tr w:rsidR="006B1C5D" w:rsidRPr="006B1C5D" w14:paraId="3756582D" w14:textId="77777777" w:rsidTr="006F1B7A">
        <w:trPr>
          <w:gridAfter w:val="1"/>
          <w:wAfter w:w="238" w:type="dxa"/>
          <w:tblHeader/>
          <w:tblCellSpacing w:w="15" w:type="dxa"/>
        </w:trPr>
        <w:tc>
          <w:tcPr>
            <w:tcW w:w="0" w:type="auto"/>
            <w:vAlign w:val="center"/>
            <w:hideMark/>
          </w:tcPr>
          <w:p w14:paraId="7FA7796A" w14:textId="77777777" w:rsidR="006B1C5D" w:rsidRPr="006B1C5D" w:rsidRDefault="006B1C5D" w:rsidP="006F1B7A">
            <w:pPr>
              <w:jc w:val="center"/>
              <w:rPr>
                <w:b/>
                <w:bCs/>
                <w:sz w:val="20"/>
                <w:szCs w:val="20"/>
                <w:lang w:eastAsia="en-CA"/>
              </w:rPr>
            </w:pPr>
          </w:p>
        </w:tc>
        <w:tc>
          <w:tcPr>
            <w:tcW w:w="0" w:type="auto"/>
            <w:vAlign w:val="center"/>
            <w:hideMark/>
          </w:tcPr>
          <w:p w14:paraId="56E9D05E" w14:textId="77777777" w:rsidR="006B1C5D" w:rsidRPr="006B1C5D" w:rsidRDefault="006B1C5D" w:rsidP="006F1B7A">
            <w:pPr>
              <w:jc w:val="center"/>
              <w:rPr>
                <w:b/>
                <w:bCs/>
                <w:sz w:val="20"/>
                <w:szCs w:val="20"/>
                <w:lang w:eastAsia="en-CA"/>
              </w:rPr>
            </w:pPr>
            <w:r w:rsidRPr="006B1C5D">
              <w:rPr>
                <w:b/>
                <w:bCs/>
                <w:sz w:val="20"/>
                <w:szCs w:val="20"/>
                <w:lang w:eastAsia="en-CA"/>
              </w:rPr>
              <w:t>Year 1</w:t>
            </w:r>
          </w:p>
        </w:tc>
        <w:tc>
          <w:tcPr>
            <w:tcW w:w="1876" w:type="dxa"/>
            <w:vAlign w:val="center"/>
            <w:hideMark/>
          </w:tcPr>
          <w:p w14:paraId="62EB7F89" w14:textId="77777777" w:rsidR="006B1C5D" w:rsidRPr="006B1C5D" w:rsidRDefault="006B1C5D" w:rsidP="006F1B7A">
            <w:pPr>
              <w:ind w:left="459" w:right="-618"/>
              <w:jc w:val="center"/>
              <w:rPr>
                <w:b/>
                <w:bCs/>
                <w:sz w:val="20"/>
                <w:szCs w:val="20"/>
                <w:lang w:eastAsia="en-CA"/>
              </w:rPr>
            </w:pPr>
            <w:r w:rsidRPr="006B1C5D">
              <w:rPr>
                <w:b/>
                <w:bCs/>
                <w:sz w:val="20"/>
                <w:szCs w:val="20"/>
                <w:lang w:eastAsia="en-CA"/>
              </w:rPr>
              <w:t>Year 2</w:t>
            </w:r>
          </w:p>
        </w:tc>
        <w:tc>
          <w:tcPr>
            <w:tcW w:w="2379" w:type="dxa"/>
            <w:gridSpan w:val="2"/>
            <w:vAlign w:val="center"/>
            <w:hideMark/>
          </w:tcPr>
          <w:p w14:paraId="7F889F5B" w14:textId="77777777" w:rsidR="006B1C5D" w:rsidRPr="006B1C5D" w:rsidRDefault="006B1C5D" w:rsidP="006F1B7A">
            <w:pPr>
              <w:ind w:left="459" w:right="-618"/>
              <w:jc w:val="center"/>
              <w:rPr>
                <w:b/>
                <w:bCs/>
                <w:sz w:val="20"/>
                <w:szCs w:val="20"/>
                <w:lang w:eastAsia="en-CA"/>
              </w:rPr>
            </w:pPr>
            <w:r w:rsidRPr="006B1C5D">
              <w:rPr>
                <w:b/>
                <w:bCs/>
                <w:sz w:val="20"/>
                <w:szCs w:val="20"/>
                <w:lang w:eastAsia="en-CA"/>
              </w:rPr>
              <w:t>Year 3</w:t>
            </w:r>
          </w:p>
        </w:tc>
      </w:tr>
      <w:tr w:rsidR="006B1C5D" w:rsidRPr="006B1C5D" w14:paraId="6B8389FD" w14:textId="77777777" w:rsidTr="006F1B7A">
        <w:trPr>
          <w:tblCellSpacing w:w="15" w:type="dxa"/>
        </w:trPr>
        <w:tc>
          <w:tcPr>
            <w:tcW w:w="0" w:type="auto"/>
            <w:vAlign w:val="center"/>
            <w:hideMark/>
          </w:tcPr>
          <w:p w14:paraId="06818267" w14:textId="77777777" w:rsidR="006B1C5D" w:rsidRPr="006B1C5D" w:rsidRDefault="006B1C5D" w:rsidP="006F1B7A">
            <w:pPr>
              <w:rPr>
                <w:sz w:val="20"/>
                <w:szCs w:val="20"/>
                <w:lang w:eastAsia="en-CA"/>
              </w:rPr>
            </w:pPr>
            <w:r w:rsidRPr="006B1C5D">
              <w:rPr>
                <w:b/>
                <w:bCs/>
                <w:sz w:val="20"/>
                <w:szCs w:val="20"/>
                <w:lang w:eastAsia="en-CA"/>
              </w:rPr>
              <w:t>Gross Revenues</w:t>
            </w:r>
            <w:r w:rsidRPr="006B1C5D">
              <w:rPr>
                <w:rStyle w:val="FootnoteReference"/>
                <w:b/>
                <w:bCs/>
                <w:sz w:val="20"/>
                <w:szCs w:val="20"/>
                <w:lang w:eastAsia="en-CA"/>
              </w:rPr>
              <w:footnoteReference w:id="31"/>
            </w:r>
          </w:p>
        </w:tc>
        <w:tc>
          <w:tcPr>
            <w:tcW w:w="0" w:type="auto"/>
            <w:vAlign w:val="center"/>
            <w:hideMark/>
          </w:tcPr>
          <w:p w14:paraId="31746AE8" w14:textId="77777777" w:rsidR="006B1C5D" w:rsidRPr="006B1C5D" w:rsidRDefault="006B1C5D" w:rsidP="006F1B7A">
            <w:pPr>
              <w:rPr>
                <w:sz w:val="20"/>
                <w:szCs w:val="20"/>
                <w:lang w:eastAsia="en-CA"/>
              </w:rPr>
            </w:pPr>
            <w:r w:rsidRPr="006B1C5D">
              <w:rPr>
                <w:sz w:val="20"/>
                <w:szCs w:val="20"/>
                <w:lang w:eastAsia="en-CA"/>
              </w:rPr>
              <w:t>$1,166,400</w:t>
            </w:r>
          </w:p>
        </w:tc>
        <w:tc>
          <w:tcPr>
            <w:tcW w:w="2159" w:type="dxa"/>
            <w:gridSpan w:val="2"/>
            <w:vAlign w:val="center"/>
            <w:hideMark/>
          </w:tcPr>
          <w:p w14:paraId="5A3616AE" w14:textId="77777777" w:rsidR="006B1C5D" w:rsidRPr="006B1C5D" w:rsidRDefault="006B1C5D" w:rsidP="006F1B7A">
            <w:pPr>
              <w:ind w:left="1026" w:right="-618"/>
              <w:rPr>
                <w:sz w:val="20"/>
                <w:szCs w:val="20"/>
                <w:lang w:eastAsia="en-CA"/>
              </w:rPr>
            </w:pPr>
            <w:r w:rsidRPr="006B1C5D">
              <w:rPr>
                <w:sz w:val="20"/>
                <w:szCs w:val="20"/>
                <w:lang w:eastAsia="en-CA"/>
              </w:rPr>
              <w:t>$1,224,720</w:t>
            </w:r>
          </w:p>
        </w:tc>
        <w:tc>
          <w:tcPr>
            <w:tcW w:w="2364" w:type="dxa"/>
            <w:gridSpan w:val="2"/>
            <w:vAlign w:val="center"/>
            <w:hideMark/>
          </w:tcPr>
          <w:p w14:paraId="6810E73A" w14:textId="77777777" w:rsidR="006B1C5D" w:rsidRPr="006B1C5D" w:rsidRDefault="006B1C5D" w:rsidP="006F1B7A">
            <w:pPr>
              <w:ind w:left="958" w:right="-618"/>
              <w:rPr>
                <w:sz w:val="20"/>
                <w:szCs w:val="20"/>
                <w:lang w:eastAsia="en-CA"/>
              </w:rPr>
            </w:pPr>
            <w:r w:rsidRPr="006B1C5D">
              <w:rPr>
                <w:sz w:val="20"/>
                <w:szCs w:val="20"/>
                <w:lang w:eastAsia="en-CA"/>
              </w:rPr>
              <w:t>$1,285,956</w:t>
            </w:r>
          </w:p>
        </w:tc>
      </w:tr>
      <w:tr w:rsidR="006B1C5D" w:rsidRPr="006B1C5D" w14:paraId="0FABE50C" w14:textId="77777777" w:rsidTr="006F1B7A">
        <w:trPr>
          <w:tblCellSpacing w:w="15" w:type="dxa"/>
        </w:trPr>
        <w:tc>
          <w:tcPr>
            <w:tcW w:w="0" w:type="auto"/>
            <w:vAlign w:val="center"/>
            <w:hideMark/>
          </w:tcPr>
          <w:p w14:paraId="30519AA9" w14:textId="77777777" w:rsidR="006B1C5D" w:rsidRPr="006B1C5D" w:rsidRDefault="006B1C5D" w:rsidP="006F1B7A">
            <w:pPr>
              <w:rPr>
                <w:sz w:val="20"/>
                <w:szCs w:val="20"/>
                <w:lang w:eastAsia="en-CA"/>
              </w:rPr>
            </w:pPr>
            <w:r w:rsidRPr="006B1C5D">
              <w:rPr>
                <w:sz w:val="20"/>
                <w:szCs w:val="20"/>
                <w:lang w:eastAsia="en-CA"/>
              </w:rPr>
              <w:t>COGS (40%)</w:t>
            </w:r>
            <w:r w:rsidRPr="006B1C5D">
              <w:rPr>
                <w:rStyle w:val="FootnoteReference"/>
                <w:sz w:val="20"/>
                <w:szCs w:val="20"/>
                <w:lang w:eastAsia="en-CA"/>
              </w:rPr>
              <w:footnoteReference w:id="32"/>
            </w:r>
          </w:p>
        </w:tc>
        <w:tc>
          <w:tcPr>
            <w:tcW w:w="0" w:type="auto"/>
            <w:vAlign w:val="center"/>
            <w:hideMark/>
          </w:tcPr>
          <w:p w14:paraId="45A700AA" w14:textId="77777777" w:rsidR="006B1C5D" w:rsidRPr="006B1C5D" w:rsidRDefault="006B1C5D" w:rsidP="006F1B7A">
            <w:pPr>
              <w:rPr>
                <w:sz w:val="20"/>
                <w:szCs w:val="20"/>
                <w:u w:val="single"/>
                <w:lang w:eastAsia="en-CA"/>
              </w:rPr>
            </w:pPr>
            <w:r w:rsidRPr="006B1C5D">
              <w:rPr>
                <w:sz w:val="20"/>
                <w:szCs w:val="20"/>
                <w:u w:val="single"/>
                <w:lang w:eastAsia="en-CA"/>
              </w:rPr>
              <w:t>$   466,560</w:t>
            </w:r>
          </w:p>
        </w:tc>
        <w:tc>
          <w:tcPr>
            <w:tcW w:w="2159" w:type="dxa"/>
            <w:gridSpan w:val="2"/>
            <w:vAlign w:val="center"/>
            <w:hideMark/>
          </w:tcPr>
          <w:p w14:paraId="32D1473C" w14:textId="77777777" w:rsidR="006B1C5D" w:rsidRPr="006B1C5D" w:rsidRDefault="006B1C5D" w:rsidP="006F1B7A">
            <w:pPr>
              <w:ind w:left="1026" w:right="-618"/>
              <w:rPr>
                <w:sz w:val="20"/>
                <w:szCs w:val="20"/>
                <w:u w:val="single"/>
                <w:lang w:eastAsia="en-CA"/>
              </w:rPr>
            </w:pPr>
            <w:r w:rsidRPr="006B1C5D">
              <w:rPr>
                <w:sz w:val="20"/>
                <w:szCs w:val="20"/>
                <w:u w:val="single"/>
                <w:lang w:eastAsia="en-CA"/>
              </w:rPr>
              <w:t>$   489,888</w:t>
            </w:r>
          </w:p>
        </w:tc>
        <w:tc>
          <w:tcPr>
            <w:tcW w:w="2364" w:type="dxa"/>
            <w:gridSpan w:val="2"/>
            <w:vAlign w:val="center"/>
            <w:hideMark/>
          </w:tcPr>
          <w:p w14:paraId="21A69B98" w14:textId="77777777" w:rsidR="006B1C5D" w:rsidRPr="006B1C5D" w:rsidRDefault="006B1C5D" w:rsidP="006F1B7A">
            <w:pPr>
              <w:ind w:left="958" w:right="-618"/>
              <w:rPr>
                <w:sz w:val="20"/>
                <w:szCs w:val="20"/>
                <w:u w:val="single"/>
                <w:lang w:eastAsia="en-CA"/>
              </w:rPr>
            </w:pPr>
            <w:r w:rsidRPr="006B1C5D">
              <w:rPr>
                <w:sz w:val="20"/>
                <w:szCs w:val="20"/>
                <w:u w:val="single"/>
                <w:lang w:eastAsia="en-CA"/>
              </w:rPr>
              <w:t>$   514,382</w:t>
            </w:r>
          </w:p>
        </w:tc>
      </w:tr>
      <w:tr w:rsidR="006B1C5D" w:rsidRPr="006B1C5D" w14:paraId="0A4DCBA6" w14:textId="77777777" w:rsidTr="006F1B7A">
        <w:trPr>
          <w:tblCellSpacing w:w="15" w:type="dxa"/>
        </w:trPr>
        <w:tc>
          <w:tcPr>
            <w:tcW w:w="0" w:type="auto"/>
            <w:vAlign w:val="center"/>
            <w:hideMark/>
          </w:tcPr>
          <w:p w14:paraId="507EB422" w14:textId="77777777" w:rsidR="006B1C5D" w:rsidRPr="006B1C5D" w:rsidRDefault="006B1C5D" w:rsidP="006F1B7A">
            <w:pPr>
              <w:rPr>
                <w:sz w:val="20"/>
                <w:szCs w:val="20"/>
                <w:lang w:eastAsia="en-CA"/>
              </w:rPr>
            </w:pPr>
            <w:r w:rsidRPr="006B1C5D">
              <w:rPr>
                <w:b/>
                <w:bCs/>
                <w:sz w:val="20"/>
                <w:szCs w:val="20"/>
                <w:lang w:eastAsia="en-CA"/>
              </w:rPr>
              <w:t>Gross Profit</w:t>
            </w:r>
          </w:p>
        </w:tc>
        <w:tc>
          <w:tcPr>
            <w:tcW w:w="0" w:type="auto"/>
            <w:vAlign w:val="center"/>
            <w:hideMark/>
          </w:tcPr>
          <w:p w14:paraId="27D14DBA" w14:textId="77777777" w:rsidR="006B1C5D" w:rsidRPr="006B1C5D" w:rsidRDefault="006B1C5D" w:rsidP="006F1B7A">
            <w:pPr>
              <w:rPr>
                <w:b/>
                <w:bCs/>
                <w:sz w:val="20"/>
                <w:szCs w:val="20"/>
                <w:lang w:eastAsia="en-CA"/>
              </w:rPr>
            </w:pPr>
            <w:r w:rsidRPr="006B1C5D">
              <w:rPr>
                <w:b/>
                <w:bCs/>
                <w:sz w:val="20"/>
                <w:szCs w:val="20"/>
                <w:lang w:eastAsia="en-CA"/>
              </w:rPr>
              <w:t>$   699,840</w:t>
            </w:r>
          </w:p>
        </w:tc>
        <w:tc>
          <w:tcPr>
            <w:tcW w:w="2159" w:type="dxa"/>
            <w:gridSpan w:val="2"/>
            <w:vAlign w:val="center"/>
            <w:hideMark/>
          </w:tcPr>
          <w:p w14:paraId="239F9617" w14:textId="77777777" w:rsidR="006B1C5D" w:rsidRPr="006B1C5D" w:rsidRDefault="006B1C5D" w:rsidP="006F1B7A">
            <w:pPr>
              <w:ind w:left="1026" w:right="-618"/>
              <w:rPr>
                <w:b/>
                <w:bCs/>
                <w:sz w:val="20"/>
                <w:szCs w:val="20"/>
                <w:lang w:eastAsia="en-CA"/>
              </w:rPr>
            </w:pPr>
            <w:r w:rsidRPr="006B1C5D">
              <w:rPr>
                <w:b/>
                <w:bCs/>
                <w:sz w:val="20"/>
                <w:szCs w:val="20"/>
                <w:lang w:eastAsia="en-CA"/>
              </w:rPr>
              <w:t>$   734,832</w:t>
            </w:r>
          </w:p>
        </w:tc>
        <w:tc>
          <w:tcPr>
            <w:tcW w:w="2364" w:type="dxa"/>
            <w:gridSpan w:val="2"/>
            <w:vAlign w:val="center"/>
            <w:hideMark/>
          </w:tcPr>
          <w:p w14:paraId="3C4DA8B4" w14:textId="77777777" w:rsidR="006B1C5D" w:rsidRPr="006B1C5D" w:rsidRDefault="006B1C5D" w:rsidP="006F1B7A">
            <w:pPr>
              <w:ind w:left="958" w:right="-618"/>
              <w:rPr>
                <w:b/>
                <w:bCs/>
                <w:sz w:val="20"/>
                <w:szCs w:val="20"/>
                <w:lang w:eastAsia="en-CA"/>
              </w:rPr>
            </w:pPr>
            <w:r w:rsidRPr="006B1C5D">
              <w:rPr>
                <w:b/>
                <w:bCs/>
                <w:sz w:val="20"/>
                <w:szCs w:val="20"/>
                <w:lang w:eastAsia="en-CA"/>
              </w:rPr>
              <w:t>$   771,574</w:t>
            </w:r>
          </w:p>
        </w:tc>
      </w:tr>
      <w:tr w:rsidR="006B1C5D" w:rsidRPr="006B1C5D" w14:paraId="3E72E216" w14:textId="77777777" w:rsidTr="006F1B7A">
        <w:trPr>
          <w:tblCellSpacing w:w="15" w:type="dxa"/>
        </w:trPr>
        <w:tc>
          <w:tcPr>
            <w:tcW w:w="0" w:type="auto"/>
            <w:vAlign w:val="center"/>
            <w:hideMark/>
          </w:tcPr>
          <w:p w14:paraId="658A5301" w14:textId="77777777" w:rsidR="006B1C5D" w:rsidRPr="006B1C5D" w:rsidRDefault="006B1C5D" w:rsidP="006F1B7A">
            <w:pPr>
              <w:rPr>
                <w:sz w:val="20"/>
                <w:szCs w:val="20"/>
                <w:lang w:eastAsia="en-CA"/>
              </w:rPr>
            </w:pPr>
            <w:r w:rsidRPr="006B1C5D">
              <w:rPr>
                <w:sz w:val="20"/>
                <w:szCs w:val="20"/>
                <w:lang w:eastAsia="en-CA"/>
              </w:rPr>
              <w:t>Labour (25%)</w:t>
            </w:r>
          </w:p>
        </w:tc>
        <w:tc>
          <w:tcPr>
            <w:tcW w:w="0" w:type="auto"/>
            <w:vAlign w:val="center"/>
            <w:hideMark/>
          </w:tcPr>
          <w:p w14:paraId="069F33F2" w14:textId="77777777" w:rsidR="006B1C5D" w:rsidRPr="006B1C5D" w:rsidRDefault="006B1C5D" w:rsidP="006F1B7A">
            <w:pPr>
              <w:rPr>
                <w:sz w:val="20"/>
                <w:szCs w:val="20"/>
                <w:lang w:eastAsia="en-CA"/>
              </w:rPr>
            </w:pPr>
            <w:r w:rsidRPr="006B1C5D">
              <w:rPr>
                <w:sz w:val="20"/>
                <w:szCs w:val="20"/>
                <w:lang w:eastAsia="en-CA"/>
              </w:rPr>
              <w:t>$   291,600</w:t>
            </w:r>
          </w:p>
        </w:tc>
        <w:tc>
          <w:tcPr>
            <w:tcW w:w="2159" w:type="dxa"/>
            <w:gridSpan w:val="2"/>
            <w:vAlign w:val="center"/>
            <w:hideMark/>
          </w:tcPr>
          <w:p w14:paraId="24987194" w14:textId="77777777" w:rsidR="006B1C5D" w:rsidRPr="006B1C5D" w:rsidRDefault="006B1C5D" w:rsidP="006F1B7A">
            <w:pPr>
              <w:ind w:left="1026" w:right="-618"/>
              <w:rPr>
                <w:sz w:val="20"/>
                <w:szCs w:val="20"/>
                <w:lang w:eastAsia="en-CA"/>
              </w:rPr>
            </w:pPr>
            <w:r w:rsidRPr="006B1C5D">
              <w:rPr>
                <w:sz w:val="20"/>
                <w:szCs w:val="20"/>
                <w:lang w:eastAsia="en-CA"/>
              </w:rPr>
              <w:t>$   306,180</w:t>
            </w:r>
          </w:p>
        </w:tc>
        <w:tc>
          <w:tcPr>
            <w:tcW w:w="2364" w:type="dxa"/>
            <w:gridSpan w:val="2"/>
            <w:vAlign w:val="center"/>
            <w:hideMark/>
          </w:tcPr>
          <w:p w14:paraId="074A0A1E" w14:textId="77777777" w:rsidR="006B1C5D" w:rsidRPr="006B1C5D" w:rsidRDefault="006B1C5D" w:rsidP="006F1B7A">
            <w:pPr>
              <w:ind w:left="958" w:right="-618"/>
              <w:rPr>
                <w:sz w:val="20"/>
                <w:szCs w:val="20"/>
                <w:lang w:eastAsia="en-CA"/>
              </w:rPr>
            </w:pPr>
            <w:r w:rsidRPr="006B1C5D">
              <w:rPr>
                <w:sz w:val="20"/>
                <w:szCs w:val="20"/>
                <w:lang w:eastAsia="en-CA"/>
              </w:rPr>
              <w:t>$   321,489</w:t>
            </w:r>
          </w:p>
        </w:tc>
      </w:tr>
      <w:tr w:rsidR="006B1C5D" w:rsidRPr="006B1C5D" w14:paraId="7BFAE5C1" w14:textId="77777777" w:rsidTr="006F1B7A">
        <w:trPr>
          <w:tblCellSpacing w:w="15" w:type="dxa"/>
        </w:trPr>
        <w:tc>
          <w:tcPr>
            <w:tcW w:w="0" w:type="auto"/>
            <w:vAlign w:val="center"/>
            <w:hideMark/>
          </w:tcPr>
          <w:p w14:paraId="585840E1" w14:textId="77777777" w:rsidR="006B1C5D" w:rsidRPr="006B1C5D" w:rsidRDefault="006B1C5D" w:rsidP="006F1B7A">
            <w:pPr>
              <w:rPr>
                <w:sz w:val="20"/>
                <w:szCs w:val="20"/>
                <w:lang w:eastAsia="en-CA"/>
              </w:rPr>
            </w:pPr>
            <w:r w:rsidRPr="006B1C5D">
              <w:rPr>
                <w:sz w:val="20"/>
                <w:szCs w:val="20"/>
                <w:lang w:eastAsia="en-CA"/>
              </w:rPr>
              <w:t>Occupancy Costs</w:t>
            </w:r>
          </w:p>
        </w:tc>
        <w:tc>
          <w:tcPr>
            <w:tcW w:w="0" w:type="auto"/>
            <w:vAlign w:val="center"/>
            <w:hideMark/>
          </w:tcPr>
          <w:p w14:paraId="4CBDDE3D" w14:textId="77777777" w:rsidR="006B1C5D" w:rsidRPr="006B1C5D" w:rsidRDefault="006B1C5D" w:rsidP="006F1B7A">
            <w:pPr>
              <w:rPr>
                <w:sz w:val="20"/>
                <w:szCs w:val="20"/>
                <w:lang w:eastAsia="en-CA"/>
              </w:rPr>
            </w:pPr>
            <w:r w:rsidRPr="006B1C5D">
              <w:rPr>
                <w:sz w:val="20"/>
                <w:szCs w:val="20"/>
                <w:lang w:eastAsia="en-CA"/>
              </w:rPr>
              <w:t>$   120,000</w:t>
            </w:r>
          </w:p>
        </w:tc>
        <w:tc>
          <w:tcPr>
            <w:tcW w:w="2159" w:type="dxa"/>
            <w:gridSpan w:val="2"/>
            <w:vAlign w:val="center"/>
            <w:hideMark/>
          </w:tcPr>
          <w:p w14:paraId="2B03B695" w14:textId="77777777" w:rsidR="006B1C5D" w:rsidRPr="006B1C5D" w:rsidRDefault="006B1C5D" w:rsidP="006F1B7A">
            <w:pPr>
              <w:ind w:left="1026" w:right="-618"/>
              <w:rPr>
                <w:sz w:val="20"/>
                <w:szCs w:val="20"/>
                <w:lang w:eastAsia="en-CA"/>
              </w:rPr>
            </w:pPr>
            <w:r w:rsidRPr="006B1C5D">
              <w:rPr>
                <w:sz w:val="20"/>
                <w:szCs w:val="20"/>
                <w:lang w:eastAsia="en-CA"/>
              </w:rPr>
              <w:t>$   120,000</w:t>
            </w:r>
          </w:p>
        </w:tc>
        <w:tc>
          <w:tcPr>
            <w:tcW w:w="2364" w:type="dxa"/>
            <w:gridSpan w:val="2"/>
            <w:vAlign w:val="center"/>
            <w:hideMark/>
          </w:tcPr>
          <w:p w14:paraId="48804599" w14:textId="77777777" w:rsidR="006B1C5D" w:rsidRPr="006B1C5D" w:rsidRDefault="006B1C5D" w:rsidP="006F1B7A">
            <w:pPr>
              <w:ind w:left="958" w:right="-618"/>
              <w:rPr>
                <w:sz w:val="20"/>
                <w:szCs w:val="20"/>
                <w:lang w:eastAsia="en-CA"/>
              </w:rPr>
            </w:pPr>
            <w:r w:rsidRPr="006B1C5D">
              <w:rPr>
                <w:sz w:val="20"/>
                <w:szCs w:val="20"/>
                <w:lang w:eastAsia="en-CA"/>
              </w:rPr>
              <w:t>$   120,000</w:t>
            </w:r>
          </w:p>
        </w:tc>
      </w:tr>
      <w:tr w:rsidR="006B1C5D" w:rsidRPr="006B1C5D" w14:paraId="38082669" w14:textId="77777777" w:rsidTr="006F1B7A">
        <w:trPr>
          <w:tblCellSpacing w:w="15" w:type="dxa"/>
        </w:trPr>
        <w:tc>
          <w:tcPr>
            <w:tcW w:w="0" w:type="auto"/>
            <w:vAlign w:val="center"/>
            <w:hideMark/>
          </w:tcPr>
          <w:p w14:paraId="634D21E2" w14:textId="77777777" w:rsidR="006B1C5D" w:rsidRPr="006B1C5D" w:rsidRDefault="006B1C5D" w:rsidP="006F1B7A">
            <w:pPr>
              <w:rPr>
                <w:sz w:val="20"/>
                <w:szCs w:val="20"/>
                <w:lang w:eastAsia="en-CA"/>
              </w:rPr>
            </w:pPr>
            <w:r w:rsidRPr="006B1C5D">
              <w:rPr>
                <w:sz w:val="20"/>
                <w:szCs w:val="20"/>
                <w:lang w:eastAsia="en-CA"/>
              </w:rPr>
              <w:t>Marketing (3%)</w:t>
            </w:r>
          </w:p>
        </w:tc>
        <w:tc>
          <w:tcPr>
            <w:tcW w:w="0" w:type="auto"/>
            <w:vAlign w:val="center"/>
            <w:hideMark/>
          </w:tcPr>
          <w:p w14:paraId="2119D636" w14:textId="77777777" w:rsidR="006B1C5D" w:rsidRPr="006B1C5D" w:rsidRDefault="006B1C5D" w:rsidP="006F1B7A">
            <w:pPr>
              <w:rPr>
                <w:sz w:val="20"/>
                <w:szCs w:val="20"/>
                <w:lang w:eastAsia="en-CA"/>
              </w:rPr>
            </w:pPr>
            <w:r w:rsidRPr="006B1C5D">
              <w:rPr>
                <w:sz w:val="20"/>
                <w:szCs w:val="20"/>
                <w:lang w:eastAsia="en-CA"/>
              </w:rPr>
              <w:t>$    34,992</w:t>
            </w:r>
          </w:p>
        </w:tc>
        <w:tc>
          <w:tcPr>
            <w:tcW w:w="2159" w:type="dxa"/>
            <w:gridSpan w:val="2"/>
            <w:vAlign w:val="center"/>
            <w:hideMark/>
          </w:tcPr>
          <w:p w14:paraId="773B99CD" w14:textId="77777777" w:rsidR="006B1C5D" w:rsidRPr="006B1C5D" w:rsidRDefault="006B1C5D" w:rsidP="006F1B7A">
            <w:pPr>
              <w:ind w:left="1026" w:right="-618"/>
              <w:rPr>
                <w:sz w:val="20"/>
                <w:szCs w:val="20"/>
                <w:lang w:eastAsia="en-CA"/>
              </w:rPr>
            </w:pPr>
            <w:r w:rsidRPr="006B1C5D">
              <w:rPr>
                <w:sz w:val="20"/>
                <w:szCs w:val="20"/>
                <w:lang w:eastAsia="en-CA"/>
              </w:rPr>
              <w:t>$     36,741</w:t>
            </w:r>
          </w:p>
        </w:tc>
        <w:tc>
          <w:tcPr>
            <w:tcW w:w="2364" w:type="dxa"/>
            <w:gridSpan w:val="2"/>
            <w:vAlign w:val="center"/>
            <w:hideMark/>
          </w:tcPr>
          <w:p w14:paraId="4488328D" w14:textId="77777777" w:rsidR="006B1C5D" w:rsidRPr="006B1C5D" w:rsidRDefault="006B1C5D" w:rsidP="006F1B7A">
            <w:pPr>
              <w:ind w:left="958" w:right="-618"/>
              <w:rPr>
                <w:sz w:val="20"/>
                <w:szCs w:val="20"/>
                <w:lang w:eastAsia="en-CA"/>
              </w:rPr>
            </w:pPr>
            <w:r w:rsidRPr="006B1C5D">
              <w:rPr>
                <w:sz w:val="20"/>
                <w:szCs w:val="20"/>
                <w:lang w:eastAsia="en-CA"/>
              </w:rPr>
              <w:t>$     38,579</w:t>
            </w:r>
          </w:p>
        </w:tc>
      </w:tr>
      <w:tr w:rsidR="006B1C5D" w:rsidRPr="006B1C5D" w14:paraId="102EB923" w14:textId="77777777" w:rsidTr="006F1B7A">
        <w:trPr>
          <w:tblCellSpacing w:w="15" w:type="dxa"/>
        </w:trPr>
        <w:tc>
          <w:tcPr>
            <w:tcW w:w="0" w:type="auto"/>
            <w:vAlign w:val="center"/>
            <w:hideMark/>
          </w:tcPr>
          <w:p w14:paraId="2BB66628" w14:textId="77777777" w:rsidR="006B1C5D" w:rsidRPr="006B1C5D" w:rsidRDefault="006B1C5D" w:rsidP="006F1B7A">
            <w:pPr>
              <w:rPr>
                <w:sz w:val="20"/>
                <w:szCs w:val="20"/>
                <w:lang w:eastAsia="en-CA"/>
              </w:rPr>
            </w:pPr>
            <w:r w:rsidRPr="006B1C5D">
              <w:rPr>
                <w:sz w:val="20"/>
                <w:szCs w:val="20"/>
                <w:lang w:eastAsia="en-CA"/>
              </w:rPr>
              <w:t>Other Operating (5%)</w:t>
            </w:r>
          </w:p>
        </w:tc>
        <w:tc>
          <w:tcPr>
            <w:tcW w:w="0" w:type="auto"/>
            <w:vAlign w:val="center"/>
            <w:hideMark/>
          </w:tcPr>
          <w:p w14:paraId="0F79E879" w14:textId="77777777" w:rsidR="006B1C5D" w:rsidRPr="006B1C5D" w:rsidRDefault="006B1C5D" w:rsidP="006F1B7A">
            <w:pPr>
              <w:rPr>
                <w:sz w:val="20"/>
                <w:szCs w:val="20"/>
                <w:lang w:eastAsia="en-CA"/>
              </w:rPr>
            </w:pPr>
            <w:r w:rsidRPr="006B1C5D">
              <w:rPr>
                <w:sz w:val="20"/>
                <w:szCs w:val="20"/>
                <w:lang w:eastAsia="en-CA"/>
              </w:rPr>
              <w:t>$    58,320</w:t>
            </w:r>
          </w:p>
        </w:tc>
        <w:tc>
          <w:tcPr>
            <w:tcW w:w="2159" w:type="dxa"/>
            <w:gridSpan w:val="2"/>
            <w:vAlign w:val="center"/>
            <w:hideMark/>
          </w:tcPr>
          <w:p w14:paraId="52D81890" w14:textId="77777777" w:rsidR="006B1C5D" w:rsidRPr="006B1C5D" w:rsidRDefault="006B1C5D" w:rsidP="006F1B7A">
            <w:pPr>
              <w:ind w:left="1026" w:right="-618"/>
              <w:rPr>
                <w:sz w:val="20"/>
                <w:szCs w:val="20"/>
                <w:lang w:eastAsia="en-CA"/>
              </w:rPr>
            </w:pPr>
            <w:r w:rsidRPr="006B1C5D">
              <w:rPr>
                <w:sz w:val="20"/>
                <w:szCs w:val="20"/>
                <w:lang w:eastAsia="en-CA"/>
              </w:rPr>
              <w:t>$    61,236</w:t>
            </w:r>
          </w:p>
        </w:tc>
        <w:tc>
          <w:tcPr>
            <w:tcW w:w="2364" w:type="dxa"/>
            <w:gridSpan w:val="2"/>
            <w:vAlign w:val="center"/>
            <w:hideMark/>
          </w:tcPr>
          <w:p w14:paraId="47332567" w14:textId="77777777" w:rsidR="006B1C5D" w:rsidRPr="006B1C5D" w:rsidRDefault="006B1C5D" w:rsidP="006F1B7A">
            <w:pPr>
              <w:ind w:left="958" w:right="-618"/>
              <w:rPr>
                <w:sz w:val="20"/>
                <w:szCs w:val="20"/>
                <w:lang w:eastAsia="en-CA"/>
              </w:rPr>
            </w:pPr>
            <w:r w:rsidRPr="006B1C5D">
              <w:rPr>
                <w:sz w:val="20"/>
                <w:szCs w:val="20"/>
                <w:lang w:eastAsia="en-CA"/>
              </w:rPr>
              <w:t>$     64,298</w:t>
            </w:r>
          </w:p>
        </w:tc>
      </w:tr>
      <w:tr w:rsidR="006B1C5D" w:rsidRPr="006B1C5D" w14:paraId="22D1C44B" w14:textId="77777777" w:rsidTr="006F1B7A">
        <w:trPr>
          <w:tblCellSpacing w:w="15" w:type="dxa"/>
        </w:trPr>
        <w:tc>
          <w:tcPr>
            <w:tcW w:w="0" w:type="auto"/>
            <w:vAlign w:val="center"/>
            <w:hideMark/>
          </w:tcPr>
          <w:p w14:paraId="6B812996" w14:textId="77777777" w:rsidR="006B1C5D" w:rsidRPr="006B1C5D" w:rsidRDefault="006B1C5D" w:rsidP="006F1B7A">
            <w:pPr>
              <w:rPr>
                <w:sz w:val="20"/>
                <w:szCs w:val="20"/>
                <w:lang w:eastAsia="en-CA"/>
              </w:rPr>
            </w:pPr>
            <w:r w:rsidRPr="006B1C5D">
              <w:rPr>
                <w:sz w:val="20"/>
                <w:szCs w:val="20"/>
                <w:lang w:eastAsia="en-CA"/>
              </w:rPr>
              <w:t>Franchise Royalty (6%)</w:t>
            </w:r>
          </w:p>
        </w:tc>
        <w:tc>
          <w:tcPr>
            <w:tcW w:w="0" w:type="auto"/>
            <w:vAlign w:val="center"/>
            <w:hideMark/>
          </w:tcPr>
          <w:p w14:paraId="55255055" w14:textId="77777777" w:rsidR="006B1C5D" w:rsidRPr="006B1C5D" w:rsidRDefault="006B1C5D" w:rsidP="006F1B7A">
            <w:pPr>
              <w:rPr>
                <w:sz w:val="20"/>
                <w:szCs w:val="20"/>
                <w:lang w:eastAsia="en-CA"/>
              </w:rPr>
            </w:pPr>
            <w:r w:rsidRPr="006B1C5D">
              <w:rPr>
                <w:sz w:val="20"/>
                <w:szCs w:val="20"/>
                <w:lang w:eastAsia="en-CA"/>
              </w:rPr>
              <w:t>$    69,984</w:t>
            </w:r>
          </w:p>
        </w:tc>
        <w:tc>
          <w:tcPr>
            <w:tcW w:w="2159" w:type="dxa"/>
            <w:gridSpan w:val="2"/>
            <w:vAlign w:val="center"/>
            <w:hideMark/>
          </w:tcPr>
          <w:p w14:paraId="1387BC00" w14:textId="77777777" w:rsidR="006B1C5D" w:rsidRPr="006B1C5D" w:rsidRDefault="006B1C5D" w:rsidP="006F1B7A">
            <w:pPr>
              <w:ind w:left="1026" w:right="-618"/>
              <w:rPr>
                <w:sz w:val="20"/>
                <w:szCs w:val="20"/>
                <w:lang w:eastAsia="en-CA"/>
              </w:rPr>
            </w:pPr>
            <w:r w:rsidRPr="006B1C5D">
              <w:rPr>
                <w:sz w:val="20"/>
                <w:szCs w:val="20"/>
                <w:lang w:eastAsia="en-CA"/>
              </w:rPr>
              <w:t>$    73,483</w:t>
            </w:r>
          </w:p>
        </w:tc>
        <w:tc>
          <w:tcPr>
            <w:tcW w:w="2364" w:type="dxa"/>
            <w:gridSpan w:val="2"/>
            <w:vAlign w:val="center"/>
            <w:hideMark/>
          </w:tcPr>
          <w:p w14:paraId="59440DC9" w14:textId="77777777" w:rsidR="006B1C5D" w:rsidRPr="006B1C5D" w:rsidRDefault="006B1C5D" w:rsidP="006F1B7A">
            <w:pPr>
              <w:ind w:left="958" w:right="-618"/>
              <w:rPr>
                <w:sz w:val="20"/>
                <w:szCs w:val="20"/>
                <w:lang w:eastAsia="en-CA"/>
              </w:rPr>
            </w:pPr>
            <w:r w:rsidRPr="006B1C5D">
              <w:rPr>
                <w:sz w:val="20"/>
                <w:szCs w:val="20"/>
                <w:lang w:eastAsia="en-CA"/>
              </w:rPr>
              <w:t>$     77,157</w:t>
            </w:r>
          </w:p>
        </w:tc>
      </w:tr>
      <w:tr w:rsidR="006B1C5D" w:rsidRPr="006B1C5D" w14:paraId="69ED387A" w14:textId="77777777" w:rsidTr="006F1B7A">
        <w:trPr>
          <w:tblCellSpacing w:w="15" w:type="dxa"/>
        </w:trPr>
        <w:tc>
          <w:tcPr>
            <w:tcW w:w="0" w:type="auto"/>
            <w:vAlign w:val="center"/>
            <w:hideMark/>
          </w:tcPr>
          <w:p w14:paraId="646436C7" w14:textId="77777777" w:rsidR="006B1C5D" w:rsidRPr="006B1C5D" w:rsidRDefault="006B1C5D" w:rsidP="006F1B7A">
            <w:pPr>
              <w:rPr>
                <w:sz w:val="20"/>
                <w:szCs w:val="20"/>
                <w:lang w:eastAsia="en-CA"/>
              </w:rPr>
            </w:pPr>
            <w:r w:rsidRPr="006B1C5D">
              <w:rPr>
                <w:sz w:val="20"/>
                <w:szCs w:val="20"/>
                <w:lang w:eastAsia="en-CA"/>
              </w:rPr>
              <w:t>Adv. Fund (4%)</w:t>
            </w:r>
          </w:p>
        </w:tc>
        <w:tc>
          <w:tcPr>
            <w:tcW w:w="0" w:type="auto"/>
            <w:vAlign w:val="center"/>
            <w:hideMark/>
          </w:tcPr>
          <w:p w14:paraId="73965FB5" w14:textId="77777777" w:rsidR="006B1C5D" w:rsidRPr="006B1C5D" w:rsidRDefault="006B1C5D" w:rsidP="006F1B7A">
            <w:pPr>
              <w:rPr>
                <w:sz w:val="20"/>
                <w:szCs w:val="20"/>
                <w:u w:val="single"/>
                <w:lang w:eastAsia="en-CA"/>
              </w:rPr>
            </w:pPr>
            <w:r w:rsidRPr="006B1C5D">
              <w:rPr>
                <w:sz w:val="20"/>
                <w:szCs w:val="20"/>
                <w:u w:val="single"/>
                <w:lang w:eastAsia="en-CA"/>
              </w:rPr>
              <w:t>$    46,656</w:t>
            </w:r>
          </w:p>
        </w:tc>
        <w:tc>
          <w:tcPr>
            <w:tcW w:w="2159" w:type="dxa"/>
            <w:gridSpan w:val="2"/>
            <w:vAlign w:val="center"/>
            <w:hideMark/>
          </w:tcPr>
          <w:p w14:paraId="6AE2A6C6" w14:textId="77777777" w:rsidR="006B1C5D" w:rsidRPr="006B1C5D" w:rsidRDefault="006B1C5D" w:rsidP="006F1B7A">
            <w:pPr>
              <w:ind w:left="1026" w:right="-618"/>
              <w:rPr>
                <w:sz w:val="20"/>
                <w:szCs w:val="20"/>
                <w:u w:val="single"/>
                <w:lang w:eastAsia="en-CA"/>
              </w:rPr>
            </w:pPr>
            <w:r w:rsidRPr="006B1C5D">
              <w:rPr>
                <w:sz w:val="20"/>
                <w:szCs w:val="20"/>
                <w:u w:val="single"/>
                <w:lang w:eastAsia="en-CA"/>
              </w:rPr>
              <w:t>$    48,989</w:t>
            </w:r>
          </w:p>
        </w:tc>
        <w:tc>
          <w:tcPr>
            <w:tcW w:w="2364" w:type="dxa"/>
            <w:gridSpan w:val="2"/>
            <w:vAlign w:val="center"/>
            <w:hideMark/>
          </w:tcPr>
          <w:p w14:paraId="1424FC3C" w14:textId="77777777" w:rsidR="006B1C5D" w:rsidRPr="006B1C5D" w:rsidRDefault="006B1C5D" w:rsidP="006F1B7A">
            <w:pPr>
              <w:ind w:left="958" w:right="-618"/>
              <w:rPr>
                <w:sz w:val="20"/>
                <w:szCs w:val="20"/>
                <w:u w:val="single"/>
                <w:lang w:eastAsia="en-CA"/>
              </w:rPr>
            </w:pPr>
            <w:r w:rsidRPr="006B1C5D">
              <w:rPr>
                <w:sz w:val="20"/>
                <w:szCs w:val="20"/>
                <w:u w:val="single"/>
                <w:lang w:eastAsia="en-CA"/>
              </w:rPr>
              <w:t>$     51,438</w:t>
            </w:r>
          </w:p>
        </w:tc>
      </w:tr>
      <w:tr w:rsidR="006B1C5D" w:rsidRPr="006B1C5D" w14:paraId="79005CCB" w14:textId="77777777" w:rsidTr="006F1B7A">
        <w:trPr>
          <w:tblCellSpacing w:w="15" w:type="dxa"/>
        </w:trPr>
        <w:tc>
          <w:tcPr>
            <w:tcW w:w="0" w:type="auto"/>
            <w:vAlign w:val="center"/>
            <w:hideMark/>
          </w:tcPr>
          <w:p w14:paraId="4C9C8061" w14:textId="77777777" w:rsidR="006B1C5D" w:rsidRPr="006B1C5D" w:rsidRDefault="006B1C5D" w:rsidP="006F1B7A">
            <w:pPr>
              <w:rPr>
                <w:b/>
                <w:bCs/>
                <w:sz w:val="20"/>
                <w:szCs w:val="20"/>
                <w:lang w:eastAsia="en-CA"/>
              </w:rPr>
            </w:pPr>
            <w:r w:rsidRPr="006B1C5D">
              <w:rPr>
                <w:b/>
                <w:bCs/>
                <w:sz w:val="20"/>
                <w:szCs w:val="20"/>
                <w:lang w:eastAsia="en-CA"/>
              </w:rPr>
              <w:t>EBITDA</w:t>
            </w:r>
          </w:p>
        </w:tc>
        <w:tc>
          <w:tcPr>
            <w:tcW w:w="0" w:type="auto"/>
            <w:vAlign w:val="center"/>
            <w:hideMark/>
          </w:tcPr>
          <w:p w14:paraId="2AF5DDD5" w14:textId="77777777" w:rsidR="006B1C5D" w:rsidRPr="006B1C5D" w:rsidRDefault="006B1C5D" w:rsidP="006F1B7A">
            <w:pPr>
              <w:rPr>
                <w:b/>
                <w:bCs/>
                <w:sz w:val="20"/>
                <w:szCs w:val="20"/>
                <w:lang w:eastAsia="en-CA"/>
              </w:rPr>
            </w:pPr>
            <w:r w:rsidRPr="006B1C5D">
              <w:rPr>
                <w:b/>
                <w:bCs/>
                <w:sz w:val="20"/>
                <w:szCs w:val="20"/>
                <w:lang w:eastAsia="en-CA"/>
              </w:rPr>
              <w:t>$    58,288</w:t>
            </w:r>
          </w:p>
        </w:tc>
        <w:tc>
          <w:tcPr>
            <w:tcW w:w="2159" w:type="dxa"/>
            <w:gridSpan w:val="2"/>
            <w:vAlign w:val="center"/>
            <w:hideMark/>
          </w:tcPr>
          <w:p w14:paraId="354C10FE" w14:textId="77777777" w:rsidR="006B1C5D" w:rsidRPr="006B1C5D" w:rsidRDefault="006B1C5D" w:rsidP="006F1B7A">
            <w:pPr>
              <w:ind w:left="1026" w:right="-618"/>
              <w:rPr>
                <w:b/>
                <w:bCs/>
                <w:sz w:val="20"/>
                <w:szCs w:val="20"/>
                <w:lang w:eastAsia="en-CA"/>
              </w:rPr>
            </w:pPr>
            <w:r w:rsidRPr="006B1C5D">
              <w:rPr>
                <w:b/>
                <w:bCs/>
                <w:sz w:val="20"/>
                <w:szCs w:val="20"/>
                <w:lang w:eastAsia="en-CA"/>
              </w:rPr>
              <w:t>$    68,205</w:t>
            </w:r>
          </w:p>
        </w:tc>
        <w:tc>
          <w:tcPr>
            <w:tcW w:w="2364" w:type="dxa"/>
            <w:gridSpan w:val="2"/>
            <w:vAlign w:val="center"/>
            <w:hideMark/>
          </w:tcPr>
          <w:p w14:paraId="4234A73B" w14:textId="77777777" w:rsidR="006B1C5D" w:rsidRPr="006B1C5D" w:rsidRDefault="006B1C5D" w:rsidP="006F1B7A">
            <w:pPr>
              <w:ind w:left="958" w:right="-618"/>
              <w:rPr>
                <w:b/>
                <w:bCs/>
                <w:sz w:val="20"/>
                <w:szCs w:val="20"/>
                <w:lang w:eastAsia="en-CA"/>
              </w:rPr>
            </w:pPr>
            <w:r w:rsidRPr="006B1C5D">
              <w:rPr>
                <w:b/>
                <w:bCs/>
                <w:sz w:val="20"/>
                <w:szCs w:val="20"/>
                <w:lang w:eastAsia="en-CA"/>
              </w:rPr>
              <w:t>$     78,613</w:t>
            </w:r>
          </w:p>
        </w:tc>
      </w:tr>
      <w:tr w:rsidR="006B1C5D" w:rsidRPr="006B1C5D" w14:paraId="2220EE5C" w14:textId="77777777" w:rsidTr="006F1B7A">
        <w:trPr>
          <w:tblCellSpacing w:w="15" w:type="dxa"/>
        </w:trPr>
        <w:tc>
          <w:tcPr>
            <w:tcW w:w="0" w:type="auto"/>
            <w:vAlign w:val="center"/>
            <w:hideMark/>
          </w:tcPr>
          <w:p w14:paraId="1DF4DA33" w14:textId="77777777" w:rsidR="006B1C5D" w:rsidRPr="006B1C5D" w:rsidRDefault="006B1C5D" w:rsidP="006F1B7A">
            <w:pPr>
              <w:rPr>
                <w:sz w:val="20"/>
                <w:szCs w:val="20"/>
                <w:lang w:eastAsia="en-CA"/>
              </w:rPr>
            </w:pPr>
            <w:r w:rsidRPr="006B1C5D">
              <w:rPr>
                <w:sz w:val="20"/>
                <w:szCs w:val="20"/>
                <w:lang w:eastAsia="en-CA"/>
              </w:rPr>
              <w:t>Interest Expense</w:t>
            </w:r>
          </w:p>
        </w:tc>
        <w:tc>
          <w:tcPr>
            <w:tcW w:w="0" w:type="auto"/>
            <w:vAlign w:val="center"/>
            <w:hideMark/>
          </w:tcPr>
          <w:p w14:paraId="55639325" w14:textId="77777777" w:rsidR="006B1C5D" w:rsidRPr="006B1C5D" w:rsidRDefault="006B1C5D" w:rsidP="006F1B7A">
            <w:pPr>
              <w:rPr>
                <w:sz w:val="20"/>
                <w:szCs w:val="20"/>
                <w:lang w:eastAsia="en-CA"/>
              </w:rPr>
            </w:pPr>
            <w:r w:rsidRPr="006B1C5D">
              <w:rPr>
                <w:sz w:val="20"/>
                <w:szCs w:val="20"/>
                <w:lang w:eastAsia="en-CA"/>
              </w:rPr>
              <w:t>$    30,000</w:t>
            </w:r>
          </w:p>
        </w:tc>
        <w:tc>
          <w:tcPr>
            <w:tcW w:w="2159" w:type="dxa"/>
            <w:gridSpan w:val="2"/>
            <w:vAlign w:val="center"/>
            <w:hideMark/>
          </w:tcPr>
          <w:p w14:paraId="6810CA41" w14:textId="77777777" w:rsidR="006B1C5D" w:rsidRPr="006B1C5D" w:rsidRDefault="006B1C5D" w:rsidP="006F1B7A">
            <w:pPr>
              <w:ind w:left="1026" w:right="-618"/>
              <w:rPr>
                <w:sz w:val="20"/>
                <w:szCs w:val="20"/>
                <w:lang w:eastAsia="en-CA"/>
              </w:rPr>
            </w:pPr>
            <w:r w:rsidRPr="006B1C5D">
              <w:rPr>
                <w:sz w:val="20"/>
                <w:szCs w:val="20"/>
                <w:lang w:eastAsia="en-CA"/>
              </w:rPr>
              <w:t>$    30,000</w:t>
            </w:r>
          </w:p>
        </w:tc>
        <w:tc>
          <w:tcPr>
            <w:tcW w:w="2364" w:type="dxa"/>
            <w:gridSpan w:val="2"/>
            <w:vAlign w:val="center"/>
            <w:hideMark/>
          </w:tcPr>
          <w:p w14:paraId="672C1B51" w14:textId="77777777" w:rsidR="006B1C5D" w:rsidRPr="006B1C5D" w:rsidRDefault="006B1C5D" w:rsidP="006F1B7A">
            <w:pPr>
              <w:ind w:left="958" w:right="-618"/>
              <w:rPr>
                <w:sz w:val="20"/>
                <w:szCs w:val="20"/>
                <w:lang w:eastAsia="en-CA"/>
              </w:rPr>
            </w:pPr>
            <w:r w:rsidRPr="006B1C5D">
              <w:rPr>
                <w:sz w:val="20"/>
                <w:szCs w:val="20"/>
                <w:lang w:eastAsia="en-CA"/>
              </w:rPr>
              <w:t>$     30,000</w:t>
            </w:r>
          </w:p>
        </w:tc>
      </w:tr>
      <w:tr w:rsidR="006B1C5D" w:rsidRPr="006B1C5D" w14:paraId="13142777" w14:textId="77777777" w:rsidTr="006F1B7A">
        <w:trPr>
          <w:tblCellSpacing w:w="15" w:type="dxa"/>
        </w:trPr>
        <w:tc>
          <w:tcPr>
            <w:tcW w:w="0" w:type="auto"/>
            <w:vAlign w:val="center"/>
            <w:hideMark/>
          </w:tcPr>
          <w:p w14:paraId="64650388" w14:textId="77777777" w:rsidR="006B1C5D" w:rsidRPr="006B1C5D" w:rsidRDefault="006B1C5D" w:rsidP="006F1B7A">
            <w:pPr>
              <w:rPr>
                <w:sz w:val="20"/>
                <w:szCs w:val="20"/>
                <w:lang w:eastAsia="en-CA"/>
              </w:rPr>
            </w:pPr>
            <w:r w:rsidRPr="006B1C5D">
              <w:rPr>
                <w:sz w:val="20"/>
                <w:szCs w:val="20"/>
                <w:lang w:eastAsia="en-CA"/>
              </w:rPr>
              <w:t>Depreciation</w:t>
            </w:r>
          </w:p>
          <w:p w14:paraId="12455685" w14:textId="77777777" w:rsidR="006B1C5D" w:rsidRPr="006B1C5D" w:rsidRDefault="006B1C5D" w:rsidP="006F1B7A">
            <w:pPr>
              <w:rPr>
                <w:b/>
                <w:bCs/>
                <w:sz w:val="20"/>
                <w:szCs w:val="20"/>
                <w:lang w:eastAsia="en-CA"/>
              </w:rPr>
            </w:pPr>
            <w:r w:rsidRPr="006B1C5D">
              <w:rPr>
                <w:b/>
                <w:bCs/>
                <w:sz w:val="20"/>
                <w:szCs w:val="20"/>
                <w:lang w:eastAsia="en-CA"/>
              </w:rPr>
              <w:t>Earnings Before Tax</w:t>
            </w:r>
          </w:p>
        </w:tc>
        <w:tc>
          <w:tcPr>
            <w:tcW w:w="0" w:type="auto"/>
            <w:vAlign w:val="center"/>
            <w:hideMark/>
          </w:tcPr>
          <w:p w14:paraId="0914E531" w14:textId="77777777" w:rsidR="006B1C5D" w:rsidRPr="006B1C5D" w:rsidRDefault="006B1C5D" w:rsidP="006F1B7A">
            <w:pPr>
              <w:rPr>
                <w:sz w:val="20"/>
                <w:szCs w:val="20"/>
                <w:u w:val="single"/>
                <w:lang w:eastAsia="en-CA"/>
              </w:rPr>
            </w:pPr>
            <w:r w:rsidRPr="006B1C5D">
              <w:rPr>
                <w:sz w:val="20"/>
                <w:szCs w:val="20"/>
                <w:u w:val="single"/>
                <w:lang w:eastAsia="en-CA"/>
              </w:rPr>
              <w:t>$    50,000</w:t>
            </w:r>
          </w:p>
          <w:p w14:paraId="01A9371C" w14:textId="77777777" w:rsidR="006B1C5D" w:rsidRPr="006B1C5D" w:rsidRDefault="006B1C5D" w:rsidP="006F1B7A">
            <w:pPr>
              <w:rPr>
                <w:b/>
                <w:bCs/>
                <w:sz w:val="20"/>
                <w:szCs w:val="20"/>
                <w:lang w:eastAsia="en-CA"/>
              </w:rPr>
            </w:pPr>
            <w:r w:rsidRPr="006B1C5D">
              <w:rPr>
                <w:b/>
                <w:bCs/>
                <w:sz w:val="20"/>
                <w:szCs w:val="20"/>
                <w:lang w:eastAsia="en-CA"/>
              </w:rPr>
              <w:t>($   21,712)</w:t>
            </w:r>
          </w:p>
        </w:tc>
        <w:tc>
          <w:tcPr>
            <w:tcW w:w="2159" w:type="dxa"/>
            <w:gridSpan w:val="2"/>
            <w:vAlign w:val="center"/>
            <w:hideMark/>
          </w:tcPr>
          <w:p w14:paraId="53B3EA63" w14:textId="77777777" w:rsidR="006B1C5D" w:rsidRPr="006B1C5D" w:rsidRDefault="006B1C5D" w:rsidP="006F1B7A">
            <w:pPr>
              <w:ind w:left="1026" w:right="-618"/>
              <w:rPr>
                <w:sz w:val="20"/>
                <w:szCs w:val="20"/>
                <w:u w:val="single"/>
                <w:lang w:eastAsia="en-CA"/>
              </w:rPr>
            </w:pPr>
            <w:r w:rsidRPr="006B1C5D">
              <w:rPr>
                <w:sz w:val="20"/>
                <w:szCs w:val="20"/>
                <w:u w:val="single"/>
                <w:lang w:eastAsia="en-CA"/>
              </w:rPr>
              <w:t>$    50,000</w:t>
            </w:r>
          </w:p>
          <w:p w14:paraId="3833C12B" w14:textId="77777777" w:rsidR="006B1C5D" w:rsidRPr="006B1C5D" w:rsidRDefault="006B1C5D" w:rsidP="006F1B7A">
            <w:pPr>
              <w:ind w:left="1026" w:right="-618"/>
              <w:rPr>
                <w:b/>
                <w:bCs/>
                <w:sz w:val="20"/>
                <w:szCs w:val="20"/>
                <w:lang w:eastAsia="en-CA"/>
              </w:rPr>
            </w:pPr>
            <w:r w:rsidRPr="006B1C5D">
              <w:rPr>
                <w:b/>
                <w:bCs/>
                <w:sz w:val="20"/>
                <w:szCs w:val="20"/>
                <w:lang w:eastAsia="en-CA"/>
              </w:rPr>
              <w:t>($   11,795)</w:t>
            </w:r>
          </w:p>
        </w:tc>
        <w:tc>
          <w:tcPr>
            <w:tcW w:w="2364" w:type="dxa"/>
            <w:gridSpan w:val="2"/>
            <w:vAlign w:val="center"/>
            <w:hideMark/>
          </w:tcPr>
          <w:p w14:paraId="34864E76" w14:textId="77777777" w:rsidR="006B1C5D" w:rsidRPr="006B1C5D" w:rsidRDefault="006B1C5D" w:rsidP="006F1B7A">
            <w:pPr>
              <w:ind w:left="958" w:right="-618"/>
              <w:rPr>
                <w:sz w:val="20"/>
                <w:szCs w:val="20"/>
                <w:u w:val="single"/>
                <w:lang w:eastAsia="en-CA"/>
              </w:rPr>
            </w:pPr>
            <w:r w:rsidRPr="006B1C5D">
              <w:rPr>
                <w:sz w:val="20"/>
                <w:szCs w:val="20"/>
                <w:u w:val="single"/>
                <w:lang w:eastAsia="en-CA"/>
              </w:rPr>
              <w:t>$     50,000</w:t>
            </w:r>
          </w:p>
          <w:p w14:paraId="1F7CD56B" w14:textId="77777777" w:rsidR="006B1C5D" w:rsidRPr="006B1C5D" w:rsidRDefault="006B1C5D" w:rsidP="006F1B7A">
            <w:pPr>
              <w:ind w:left="958" w:right="-618"/>
              <w:rPr>
                <w:b/>
                <w:bCs/>
                <w:sz w:val="20"/>
                <w:szCs w:val="20"/>
                <w:lang w:eastAsia="en-CA"/>
              </w:rPr>
            </w:pPr>
            <w:r w:rsidRPr="006B1C5D">
              <w:rPr>
                <w:b/>
                <w:bCs/>
                <w:sz w:val="20"/>
                <w:szCs w:val="20"/>
                <w:lang w:eastAsia="en-CA"/>
              </w:rPr>
              <w:t>($      1,387)</w:t>
            </w:r>
          </w:p>
        </w:tc>
      </w:tr>
      <w:tr w:rsidR="006B1C5D" w:rsidRPr="006B1C5D" w14:paraId="1579D51B" w14:textId="77777777" w:rsidTr="006F1B7A">
        <w:trPr>
          <w:tblCellSpacing w:w="15" w:type="dxa"/>
        </w:trPr>
        <w:tc>
          <w:tcPr>
            <w:tcW w:w="0" w:type="auto"/>
            <w:vAlign w:val="center"/>
            <w:hideMark/>
          </w:tcPr>
          <w:p w14:paraId="073ABF8C" w14:textId="77777777" w:rsidR="006B1C5D" w:rsidRPr="006B1C5D" w:rsidRDefault="006B1C5D" w:rsidP="006F1B7A">
            <w:pPr>
              <w:rPr>
                <w:sz w:val="20"/>
                <w:szCs w:val="20"/>
                <w:lang w:eastAsia="en-CA"/>
              </w:rPr>
            </w:pPr>
            <w:r w:rsidRPr="006B1C5D">
              <w:rPr>
                <w:sz w:val="20"/>
                <w:szCs w:val="20"/>
                <w:lang w:eastAsia="en-CA"/>
              </w:rPr>
              <w:t>Taxes</w:t>
            </w:r>
          </w:p>
          <w:p w14:paraId="73D323FD" w14:textId="77777777" w:rsidR="006B1C5D" w:rsidRPr="006B1C5D" w:rsidRDefault="006B1C5D" w:rsidP="006F1B7A">
            <w:pPr>
              <w:rPr>
                <w:b/>
                <w:bCs/>
                <w:sz w:val="20"/>
                <w:szCs w:val="20"/>
                <w:lang w:eastAsia="en-CA"/>
              </w:rPr>
            </w:pPr>
            <w:r w:rsidRPr="006B1C5D">
              <w:rPr>
                <w:b/>
                <w:bCs/>
                <w:sz w:val="20"/>
                <w:szCs w:val="20"/>
                <w:lang w:eastAsia="en-CA"/>
              </w:rPr>
              <w:t>Cash After Tax</w:t>
            </w:r>
          </w:p>
          <w:p w14:paraId="0618A1B7" w14:textId="77777777" w:rsidR="006B1C5D" w:rsidRPr="006B1C5D" w:rsidRDefault="006B1C5D" w:rsidP="006F1B7A">
            <w:pPr>
              <w:rPr>
                <w:sz w:val="20"/>
                <w:szCs w:val="20"/>
                <w:lang w:eastAsia="en-CA"/>
              </w:rPr>
            </w:pPr>
            <w:r w:rsidRPr="006B1C5D">
              <w:rPr>
                <w:sz w:val="20"/>
                <w:szCs w:val="20"/>
                <w:lang w:eastAsia="en-CA"/>
              </w:rPr>
              <w:t>Add Depreciation</w:t>
            </w:r>
          </w:p>
        </w:tc>
        <w:tc>
          <w:tcPr>
            <w:tcW w:w="0" w:type="auto"/>
            <w:vAlign w:val="center"/>
            <w:hideMark/>
          </w:tcPr>
          <w:p w14:paraId="7A00A63E" w14:textId="77777777" w:rsidR="006B1C5D" w:rsidRPr="006B1C5D" w:rsidRDefault="006B1C5D" w:rsidP="006F1B7A">
            <w:pPr>
              <w:rPr>
                <w:sz w:val="20"/>
                <w:szCs w:val="20"/>
                <w:u w:val="single"/>
                <w:lang w:eastAsia="en-CA"/>
              </w:rPr>
            </w:pPr>
            <w:r w:rsidRPr="006B1C5D">
              <w:rPr>
                <w:sz w:val="20"/>
                <w:szCs w:val="20"/>
                <w:u w:val="single"/>
                <w:lang w:eastAsia="en-CA"/>
              </w:rPr>
              <w:t>$    000000</w:t>
            </w:r>
          </w:p>
          <w:p w14:paraId="05F6A4A5" w14:textId="77777777" w:rsidR="006B1C5D" w:rsidRPr="006B1C5D" w:rsidRDefault="006B1C5D" w:rsidP="006F1B7A">
            <w:pPr>
              <w:rPr>
                <w:sz w:val="20"/>
                <w:szCs w:val="20"/>
                <w:u w:val="single"/>
                <w:lang w:eastAsia="en-CA"/>
              </w:rPr>
            </w:pPr>
            <w:r w:rsidRPr="006B1C5D">
              <w:rPr>
                <w:b/>
                <w:bCs/>
                <w:sz w:val="20"/>
                <w:szCs w:val="20"/>
                <w:lang w:eastAsia="en-CA"/>
              </w:rPr>
              <w:t>($   21,712)</w:t>
            </w:r>
          </w:p>
          <w:p w14:paraId="6216F4D4" w14:textId="77777777" w:rsidR="006B1C5D" w:rsidRPr="006B1C5D" w:rsidRDefault="006B1C5D" w:rsidP="006F1B7A">
            <w:pPr>
              <w:rPr>
                <w:sz w:val="20"/>
                <w:szCs w:val="20"/>
                <w:u w:val="single"/>
                <w:lang w:eastAsia="en-CA"/>
              </w:rPr>
            </w:pPr>
            <w:r w:rsidRPr="006B1C5D">
              <w:rPr>
                <w:sz w:val="20"/>
                <w:szCs w:val="20"/>
                <w:u w:val="single"/>
                <w:lang w:eastAsia="en-CA"/>
              </w:rPr>
              <w:t>$    50,000</w:t>
            </w:r>
          </w:p>
        </w:tc>
        <w:tc>
          <w:tcPr>
            <w:tcW w:w="2159" w:type="dxa"/>
            <w:gridSpan w:val="2"/>
            <w:vAlign w:val="center"/>
            <w:hideMark/>
          </w:tcPr>
          <w:p w14:paraId="25BB4D46" w14:textId="77777777" w:rsidR="006B1C5D" w:rsidRPr="006B1C5D" w:rsidRDefault="006B1C5D" w:rsidP="006F1B7A">
            <w:pPr>
              <w:ind w:left="1026" w:right="-618"/>
              <w:rPr>
                <w:sz w:val="20"/>
                <w:szCs w:val="20"/>
                <w:u w:val="single"/>
                <w:lang w:eastAsia="en-CA"/>
              </w:rPr>
            </w:pPr>
            <w:r w:rsidRPr="006B1C5D">
              <w:rPr>
                <w:sz w:val="20"/>
                <w:szCs w:val="20"/>
                <w:u w:val="single"/>
                <w:lang w:eastAsia="en-CA"/>
              </w:rPr>
              <w:t>$     00000</w:t>
            </w:r>
          </w:p>
          <w:p w14:paraId="1D902B42" w14:textId="77777777" w:rsidR="006B1C5D" w:rsidRPr="006B1C5D" w:rsidRDefault="006B1C5D" w:rsidP="006F1B7A">
            <w:pPr>
              <w:ind w:left="1026" w:right="-618"/>
              <w:rPr>
                <w:sz w:val="20"/>
                <w:szCs w:val="20"/>
                <w:u w:val="single"/>
                <w:lang w:eastAsia="en-CA"/>
              </w:rPr>
            </w:pPr>
            <w:r w:rsidRPr="006B1C5D">
              <w:rPr>
                <w:b/>
                <w:bCs/>
                <w:sz w:val="20"/>
                <w:szCs w:val="20"/>
                <w:lang w:eastAsia="en-CA"/>
              </w:rPr>
              <w:t>($   11,795)</w:t>
            </w:r>
          </w:p>
          <w:p w14:paraId="3ED838A0" w14:textId="77777777" w:rsidR="006B1C5D" w:rsidRPr="006B1C5D" w:rsidRDefault="006B1C5D" w:rsidP="006F1B7A">
            <w:pPr>
              <w:ind w:left="1026" w:right="-618"/>
              <w:rPr>
                <w:sz w:val="20"/>
                <w:szCs w:val="20"/>
                <w:u w:val="single"/>
                <w:lang w:eastAsia="en-CA"/>
              </w:rPr>
            </w:pPr>
            <w:r w:rsidRPr="006B1C5D">
              <w:rPr>
                <w:sz w:val="20"/>
                <w:szCs w:val="20"/>
                <w:u w:val="single"/>
                <w:lang w:eastAsia="en-CA"/>
              </w:rPr>
              <w:t>$    50,000</w:t>
            </w:r>
          </w:p>
        </w:tc>
        <w:tc>
          <w:tcPr>
            <w:tcW w:w="2364" w:type="dxa"/>
            <w:gridSpan w:val="2"/>
            <w:vAlign w:val="center"/>
            <w:hideMark/>
          </w:tcPr>
          <w:p w14:paraId="08012E11" w14:textId="77777777" w:rsidR="006B1C5D" w:rsidRPr="006B1C5D" w:rsidRDefault="006B1C5D" w:rsidP="006F1B7A">
            <w:pPr>
              <w:ind w:left="958" w:right="-618"/>
              <w:rPr>
                <w:sz w:val="20"/>
                <w:szCs w:val="20"/>
                <w:u w:val="single"/>
                <w:lang w:eastAsia="en-CA"/>
              </w:rPr>
            </w:pPr>
            <w:r w:rsidRPr="006B1C5D">
              <w:rPr>
                <w:sz w:val="20"/>
                <w:szCs w:val="20"/>
                <w:u w:val="single"/>
                <w:lang w:eastAsia="en-CA"/>
              </w:rPr>
              <w:t>$       00000</w:t>
            </w:r>
          </w:p>
          <w:p w14:paraId="3050F0C8" w14:textId="77777777" w:rsidR="006B1C5D" w:rsidRPr="006B1C5D" w:rsidRDefault="006B1C5D" w:rsidP="006F1B7A">
            <w:pPr>
              <w:ind w:left="958" w:right="-618"/>
              <w:rPr>
                <w:sz w:val="20"/>
                <w:szCs w:val="20"/>
                <w:u w:val="single"/>
                <w:lang w:eastAsia="en-CA"/>
              </w:rPr>
            </w:pPr>
            <w:r w:rsidRPr="006B1C5D">
              <w:rPr>
                <w:b/>
                <w:bCs/>
                <w:sz w:val="20"/>
                <w:szCs w:val="20"/>
                <w:lang w:eastAsia="en-CA"/>
              </w:rPr>
              <w:t>($      1,387)</w:t>
            </w:r>
          </w:p>
          <w:p w14:paraId="2C3201BF" w14:textId="77777777" w:rsidR="006B1C5D" w:rsidRPr="006B1C5D" w:rsidRDefault="006B1C5D" w:rsidP="006F1B7A">
            <w:pPr>
              <w:ind w:left="958" w:right="-618"/>
              <w:rPr>
                <w:sz w:val="20"/>
                <w:szCs w:val="20"/>
                <w:u w:val="single"/>
                <w:lang w:eastAsia="en-CA"/>
              </w:rPr>
            </w:pPr>
            <w:r w:rsidRPr="006B1C5D">
              <w:rPr>
                <w:sz w:val="20"/>
                <w:szCs w:val="20"/>
                <w:u w:val="single"/>
                <w:lang w:eastAsia="en-CA"/>
              </w:rPr>
              <w:t>$     50,000</w:t>
            </w:r>
          </w:p>
        </w:tc>
      </w:tr>
      <w:tr w:rsidR="006B1C5D" w:rsidRPr="006B1C5D" w14:paraId="40FC35A5" w14:textId="77777777" w:rsidTr="006F1B7A">
        <w:trPr>
          <w:tblCellSpacing w:w="15" w:type="dxa"/>
        </w:trPr>
        <w:tc>
          <w:tcPr>
            <w:tcW w:w="0" w:type="auto"/>
            <w:vAlign w:val="center"/>
            <w:hideMark/>
          </w:tcPr>
          <w:p w14:paraId="7DF122AE" w14:textId="77777777" w:rsidR="006B1C5D" w:rsidRPr="006B1C5D" w:rsidRDefault="006B1C5D" w:rsidP="006F1B7A">
            <w:pPr>
              <w:rPr>
                <w:b/>
                <w:bCs/>
                <w:sz w:val="20"/>
                <w:szCs w:val="20"/>
                <w:lang w:eastAsia="en-CA"/>
              </w:rPr>
            </w:pPr>
            <w:r w:rsidRPr="006B1C5D">
              <w:rPr>
                <w:b/>
                <w:bCs/>
                <w:sz w:val="20"/>
                <w:szCs w:val="20"/>
                <w:lang w:eastAsia="en-CA"/>
              </w:rPr>
              <w:t>Cash After Tax</w:t>
            </w:r>
          </w:p>
          <w:p w14:paraId="26CC5E0E" w14:textId="77777777" w:rsidR="006B1C5D" w:rsidRPr="006B1C5D" w:rsidRDefault="006B1C5D" w:rsidP="006F1B7A">
            <w:pPr>
              <w:rPr>
                <w:sz w:val="20"/>
                <w:szCs w:val="20"/>
                <w:lang w:eastAsia="en-CA"/>
              </w:rPr>
            </w:pPr>
            <w:r w:rsidRPr="006B1C5D">
              <w:rPr>
                <w:sz w:val="20"/>
                <w:szCs w:val="20"/>
                <w:lang w:eastAsia="en-CA"/>
              </w:rPr>
              <w:t>Loan Repayment</w:t>
            </w:r>
          </w:p>
          <w:p w14:paraId="094107D8" w14:textId="77777777" w:rsidR="006B1C5D" w:rsidRPr="006B1C5D" w:rsidRDefault="006B1C5D" w:rsidP="006F1B7A">
            <w:pPr>
              <w:rPr>
                <w:sz w:val="20"/>
                <w:szCs w:val="20"/>
                <w:lang w:eastAsia="en-CA"/>
              </w:rPr>
            </w:pPr>
            <w:r w:rsidRPr="006B1C5D">
              <w:rPr>
                <w:b/>
                <w:bCs/>
                <w:sz w:val="20"/>
                <w:szCs w:val="20"/>
                <w:lang w:eastAsia="en-CA"/>
              </w:rPr>
              <w:t>Remaining Cash</w:t>
            </w:r>
            <w:r w:rsidRPr="006B1C5D">
              <w:rPr>
                <w:rStyle w:val="FootnoteReference"/>
                <w:b/>
                <w:bCs/>
                <w:sz w:val="20"/>
                <w:szCs w:val="20"/>
                <w:lang w:eastAsia="en-CA"/>
              </w:rPr>
              <w:footnoteReference w:id="33"/>
            </w:r>
            <w:r w:rsidRPr="006B1C5D">
              <w:rPr>
                <w:rStyle w:val="FootnoteReference"/>
                <w:b/>
                <w:bCs/>
                <w:sz w:val="20"/>
                <w:szCs w:val="20"/>
                <w:lang w:eastAsia="en-CA"/>
              </w:rPr>
              <w:footnoteReference w:id="34"/>
            </w:r>
          </w:p>
        </w:tc>
        <w:tc>
          <w:tcPr>
            <w:tcW w:w="0" w:type="auto"/>
            <w:vAlign w:val="center"/>
            <w:hideMark/>
          </w:tcPr>
          <w:p w14:paraId="1ED6AB42" w14:textId="77777777" w:rsidR="006B1C5D" w:rsidRPr="006B1C5D" w:rsidRDefault="006B1C5D" w:rsidP="006F1B7A">
            <w:pPr>
              <w:rPr>
                <w:b/>
                <w:bCs/>
                <w:sz w:val="20"/>
                <w:szCs w:val="20"/>
                <w:lang w:eastAsia="en-CA"/>
              </w:rPr>
            </w:pPr>
            <w:r w:rsidRPr="006B1C5D">
              <w:rPr>
                <w:b/>
                <w:bCs/>
                <w:sz w:val="20"/>
                <w:szCs w:val="20"/>
                <w:lang w:eastAsia="en-CA"/>
              </w:rPr>
              <w:t>$    28,288</w:t>
            </w:r>
          </w:p>
          <w:p w14:paraId="2C74C8E3" w14:textId="77777777" w:rsidR="006B1C5D" w:rsidRPr="006B1C5D" w:rsidRDefault="006B1C5D" w:rsidP="006F1B7A">
            <w:pPr>
              <w:rPr>
                <w:sz w:val="20"/>
                <w:szCs w:val="20"/>
                <w:u w:val="single"/>
                <w:lang w:eastAsia="en-CA"/>
              </w:rPr>
            </w:pPr>
            <w:proofErr w:type="gramStart"/>
            <w:r w:rsidRPr="006B1C5D">
              <w:rPr>
                <w:sz w:val="20"/>
                <w:szCs w:val="20"/>
                <w:u w:val="single"/>
                <w:lang w:eastAsia="en-CA"/>
              </w:rPr>
              <w:t>$  100,000</w:t>
            </w:r>
            <w:proofErr w:type="gramEnd"/>
          </w:p>
          <w:p w14:paraId="174B7200" w14:textId="77777777" w:rsidR="006B1C5D" w:rsidRPr="006B1C5D" w:rsidRDefault="006B1C5D" w:rsidP="006F1B7A">
            <w:pPr>
              <w:rPr>
                <w:sz w:val="20"/>
                <w:szCs w:val="20"/>
                <w:u w:val="single"/>
                <w:lang w:eastAsia="en-CA"/>
              </w:rPr>
            </w:pPr>
            <w:r w:rsidRPr="006B1C5D">
              <w:rPr>
                <w:b/>
                <w:bCs/>
                <w:sz w:val="20"/>
                <w:szCs w:val="20"/>
                <w:lang w:eastAsia="en-CA"/>
              </w:rPr>
              <w:t>($   71,712)</w:t>
            </w:r>
          </w:p>
        </w:tc>
        <w:tc>
          <w:tcPr>
            <w:tcW w:w="2159" w:type="dxa"/>
            <w:gridSpan w:val="2"/>
            <w:vAlign w:val="center"/>
            <w:hideMark/>
          </w:tcPr>
          <w:p w14:paraId="4461330E" w14:textId="77777777" w:rsidR="006B1C5D" w:rsidRPr="006B1C5D" w:rsidRDefault="006B1C5D" w:rsidP="006F1B7A">
            <w:pPr>
              <w:ind w:left="1026" w:right="-618"/>
              <w:rPr>
                <w:b/>
                <w:bCs/>
                <w:sz w:val="20"/>
                <w:szCs w:val="20"/>
                <w:lang w:eastAsia="en-CA"/>
              </w:rPr>
            </w:pPr>
            <w:r w:rsidRPr="006B1C5D">
              <w:rPr>
                <w:b/>
                <w:bCs/>
                <w:sz w:val="20"/>
                <w:szCs w:val="20"/>
                <w:lang w:eastAsia="en-CA"/>
              </w:rPr>
              <w:t>$    38,205</w:t>
            </w:r>
          </w:p>
          <w:p w14:paraId="5FF07DBF" w14:textId="77777777" w:rsidR="006B1C5D" w:rsidRPr="006B1C5D" w:rsidRDefault="006B1C5D" w:rsidP="006F1B7A">
            <w:pPr>
              <w:ind w:left="1026" w:right="-618"/>
              <w:rPr>
                <w:sz w:val="20"/>
                <w:szCs w:val="20"/>
                <w:u w:val="single"/>
                <w:lang w:eastAsia="en-CA"/>
              </w:rPr>
            </w:pPr>
            <w:proofErr w:type="gramStart"/>
            <w:r w:rsidRPr="006B1C5D">
              <w:rPr>
                <w:sz w:val="20"/>
                <w:szCs w:val="20"/>
                <w:u w:val="single"/>
                <w:lang w:eastAsia="en-CA"/>
              </w:rPr>
              <w:t>$  100,000</w:t>
            </w:r>
            <w:proofErr w:type="gramEnd"/>
          </w:p>
          <w:p w14:paraId="2814E42D" w14:textId="77777777" w:rsidR="006B1C5D" w:rsidRPr="006B1C5D" w:rsidRDefault="006B1C5D" w:rsidP="006F1B7A">
            <w:pPr>
              <w:ind w:right="-618"/>
              <w:rPr>
                <w:sz w:val="20"/>
                <w:szCs w:val="20"/>
                <w:lang w:eastAsia="en-CA"/>
              </w:rPr>
            </w:pPr>
            <w:r w:rsidRPr="006B1C5D">
              <w:rPr>
                <w:b/>
                <w:bCs/>
                <w:sz w:val="20"/>
                <w:szCs w:val="20"/>
                <w:lang w:eastAsia="en-CA"/>
              </w:rPr>
              <w:t xml:space="preserve">                ($    61,795)</w:t>
            </w:r>
          </w:p>
        </w:tc>
        <w:tc>
          <w:tcPr>
            <w:tcW w:w="2364" w:type="dxa"/>
            <w:gridSpan w:val="2"/>
            <w:vAlign w:val="center"/>
            <w:hideMark/>
          </w:tcPr>
          <w:p w14:paraId="44825961" w14:textId="77777777" w:rsidR="006B1C5D" w:rsidRPr="006B1C5D" w:rsidRDefault="006B1C5D" w:rsidP="006F1B7A">
            <w:pPr>
              <w:ind w:left="958" w:right="-618"/>
              <w:rPr>
                <w:b/>
                <w:bCs/>
                <w:sz w:val="20"/>
                <w:szCs w:val="20"/>
                <w:lang w:eastAsia="en-CA"/>
              </w:rPr>
            </w:pPr>
            <w:r w:rsidRPr="006B1C5D">
              <w:rPr>
                <w:b/>
                <w:bCs/>
                <w:sz w:val="20"/>
                <w:szCs w:val="20"/>
                <w:lang w:eastAsia="en-CA"/>
              </w:rPr>
              <w:t>$      48,613</w:t>
            </w:r>
          </w:p>
          <w:p w14:paraId="57ABBF92" w14:textId="77777777" w:rsidR="006B1C5D" w:rsidRPr="006B1C5D" w:rsidRDefault="006B1C5D" w:rsidP="006F1B7A">
            <w:pPr>
              <w:ind w:left="958" w:right="-618"/>
              <w:rPr>
                <w:sz w:val="20"/>
                <w:szCs w:val="20"/>
                <w:u w:val="single"/>
                <w:lang w:eastAsia="en-CA"/>
              </w:rPr>
            </w:pPr>
            <w:r w:rsidRPr="006B1C5D">
              <w:rPr>
                <w:sz w:val="20"/>
                <w:szCs w:val="20"/>
                <w:u w:val="single"/>
                <w:lang w:eastAsia="en-CA"/>
              </w:rPr>
              <w:t>$    100,000</w:t>
            </w:r>
          </w:p>
          <w:p w14:paraId="72E11C01" w14:textId="77777777" w:rsidR="006B1C5D" w:rsidRPr="006B1C5D" w:rsidRDefault="006B1C5D" w:rsidP="006F1B7A">
            <w:pPr>
              <w:ind w:left="958" w:right="-618"/>
              <w:rPr>
                <w:sz w:val="20"/>
                <w:szCs w:val="20"/>
                <w:lang w:eastAsia="en-CA"/>
              </w:rPr>
            </w:pPr>
            <w:r w:rsidRPr="006B1C5D">
              <w:rPr>
                <w:b/>
                <w:bCs/>
                <w:sz w:val="20"/>
                <w:szCs w:val="20"/>
                <w:lang w:eastAsia="en-CA"/>
              </w:rPr>
              <w:t>($     51,387)</w:t>
            </w:r>
          </w:p>
        </w:tc>
      </w:tr>
    </w:tbl>
    <w:p w14:paraId="37956B6F" w14:textId="77777777" w:rsidR="006B1C5D" w:rsidRPr="00E80180" w:rsidRDefault="006B1C5D" w:rsidP="006B1C5D">
      <w:pPr>
        <w:spacing w:line="276" w:lineRule="auto"/>
        <w:rPr>
          <w:sz w:val="22"/>
          <w:szCs w:val="22"/>
        </w:rPr>
      </w:pPr>
    </w:p>
    <w:sectPr w:rsidR="006B1C5D" w:rsidRPr="00E80180" w:rsidSect="006569C2">
      <w:pgSz w:w="12240" w:h="15840" w:code="1"/>
      <w:pgMar w:top="1440" w:right="1440" w:bottom="108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E488" w14:textId="77777777" w:rsidR="00DC7A9E" w:rsidRDefault="00DC7A9E">
      <w:pPr>
        <w:spacing w:after="0"/>
      </w:pPr>
      <w:r>
        <w:separator/>
      </w:r>
    </w:p>
  </w:endnote>
  <w:endnote w:type="continuationSeparator" w:id="0">
    <w:p w14:paraId="352132DC" w14:textId="77777777" w:rsidR="00DC7A9E" w:rsidRDefault="00DC7A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B371" w14:textId="77777777" w:rsidR="00DC7A9E" w:rsidRDefault="00DC7A9E">
      <w:pPr>
        <w:spacing w:after="0"/>
      </w:pPr>
      <w:r>
        <w:separator/>
      </w:r>
    </w:p>
  </w:footnote>
  <w:footnote w:type="continuationSeparator" w:id="0">
    <w:p w14:paraId="35A90813" w14:textId="77777777" w:rsidR="00DC7A9E" w:rsidRDefault="00DC7A9E">
      <w:pPr>
        <w:spacing w:after="0"/>
      </w:pPr>
      <w:r>
        <w:continuationSeparator/>
      </w:r>
    </w:p>
  </w:footnote>
  <w:footnote w:id="1">
    <w:p w14:paraId="09EE63B4" w14:textId="52C160B7" w:rsidR="0090331F" w:rsidRDefault="0090331F" w:rsidP="00BF0D80">
      <w:pPr>
        <w:pStyle w:val="FootnoteText"/>
        <w:tabs>
          <w:tab w:val="clear" w:pos="720"/>
          <w:tab w:val="left" w:pos="0"/>
        </w:tabs>
        <w:ind w:left="0" w:firstLine="0"/>
      </w:pPr>
      <w:r>
        <w:rPr>
          <w:rStyle w:val="FootnoteReference"/>
        </w:rPr>
        <w:footnoteRef/>
      </w:r>
      <w:r>
        <w:t xml:space="preserve"> </w:t>
      </w:r>
      <w:r w:rsidR="002D5A36">
        <w:t>The focus of this paper is on “</w:t>
      </w:r>
      <w:r w:rsidR="000B2BB4">
        <w:t>Earnings Projection</w:t>
      </w:r>
      <w:r w:rsidR="002D5A36">
        <w:t xml:space="preserve">s”; </w:t>
      </w:r>
      <w:r w:rsidR="009F464A">
        <w:t>which could comprise just a projection of gross revenues</w:t>
      </w:r>
      <w:r w:rsidR="00D46869">
        <w:t xml:space="preserve">, </w:t>
      </w:r>
      <w:r w:rsidR="001E357A">
        <w:t>gross income</w:t>
      </w:r>
      <w:r w:rsidR="004F4F63">
        <w:t xml:space="preserve">, being gross revenues net of cost of goods sold, or </w:t>
      </w:r>
      <w:r w:rsidR="00D46869">
        <w:t>net revenues, often called EBITDA [earnings before interest</w:t>
      </w:r>
      <w:r w:rsidR="00AB6EAB">
        <w:t>,</w:t>
      </w:r>
      <w:r w:rsidR="00D46869">
        <w:t xml:space="preserve"> taxes and depreciation allowance] which is </w:t>
      </w:r>
      <w:r w:rsidR="003F47BF">
        <w:t>essentially the cash flow generated by the business.</w:t>
      </w:r>
      <w:r w:rsidR="00C2052A">
        <w:t xml:space="preserve"> </w:t>
      </w:r>
      <w:r w:rsidR="003F47BF">
        <w:t xml:space="preserve">Inherent in the latter two </w:t>
      </w:r>
      <w:r w:rsidR="00402298">
        <w:t>types of “</w:t>
      </w:r>
      <w:r w:rsidR="000B2BB4">
        <w:t>Earnings Projection</w:t>
      </w:r>
      <w:r w:rsidR="00402298">
        <w:t>s” is</w:t>
      </w:r>
      <w:r w:rsidR="00BF0D80">
        <w:t xml:space="preserve"> information about </w:t>
      </w:r>
      <w:r w:rsidR="00402298">
        <w:t>operating costs</w:t>
      </w:r>
      <w:r w:rsidR="001424F2">
        <w:t>.</w:t>
      </w:r>
      <w:r w:rsidR="00C2052A">
        <w:t xml:space="preserve"> </w:t>
      </w:r>
      <w:r w:rsidR="001424F2">
        <w:t xml:space="preserve">Pursuant to section 6(2) of the Ontario Regulations, </w:t>
      </w:r>
      <w:r w:rsidR="00C510C7">
        <w:t>a franchisor must, if it provides</w:t>
      </w:r>
      <w:r w:rsidR="007B1D33">
        <w:t xml:space="preserve"> </w:t>
      </w:r>
      <w:r w:rsidR="00C510C7" w:rsidRPr="00C510C7">
        <w:t>an estimate of annual operating costs for the franchise</w:t>
      </w:r>
      <w:r w:rsidR="007B1D33">
        <w:t>, must also provide “…</w:t>
      </w:r>
      <w:r w:rsidR="00C510C7" w:rsidRPr="00C510C7">
        <w:t xml:space="preserve"> a statement specifying the basis for the estimate, the assumptions underlying the estimate and a location where information is available for inspection that substantiates the estimate.</w:t>
      </w:r>
      <w:r w:rsidR="00C510C7">
        <w:t>”</w:t>
      </w:r>
      <w:r w:rsidR="00C2052A">
        <w:t xml:space="preserve"> </w:t>
      </w:r>
      <w:r w:rsidR="00ED1AF2">
        <w:t xml:space="preserve">Since this information would be required as part of </w:t>
      </w:r>
      <w:r w:rsidR="006151D4">
        <w:t xml:space="preserve">any </w:t>
      </w:r>
      <w:r w:rsidR="000B2BB4">
        <w:t>Earnings Projection</w:t>
      </w:r>
      <w:r w:rsidR="006151D4">
        <w:t xml:space="preserve">s </w:t>
      </w:r>
      <w:r w:rsidR="007C4823">
        <w:t>which involve a determination of gross income, or net income [EBITDA]</w:t>
      </w:r>
      <w:r w:rsidR="00B31E83">
        <w:t>, we are not going to address operating costs estimates as a separate matter</w:t>
      </w:r>
      <w:r w:rsidR="005E7294">
        <w:t xml:space="preserve"> which is more properly the subject of a comprehensive paper in and of itself.</w:t>
      </w:r>
      <w:r w:rsidR="00C2052A">
        <w:t xml:space="preserve"> </w:t>
      </w:r>
    </w:p>
  </w:footnote>
  <w:footnote w:id="2">
    <w:p w14:paraId="19747CD4" w14:textId="53BB67F7" w:rsidR="00734F4A" w:rsidRDefault="00734F4A" w:rsidP="00BA5991">
      <w:pPr>
        <w:pStyle w:val="FootnoteText"/>
        <w:tabs>
          <w:tab w:val="clear" w:pos="720"/>
          <w:tab w:val="left" w:pos="0"/>
        </w:tabs>
        <w:ind w:left="0" w:firstLine="0"/>
      </w:pPr>
      <w:r>
        <w:rPr>
          <w:rStyle w:val="FootnoteReference"/>
        </w:rPr>
        <w:footnoteRef/>
      </w:r>
      <w:r>
        <w:t xml:space="preserve"> We have used the capitalized term “Earnings Projection” to include</w:t>
      </w:r>
      <w:r w:rsidR="00BA7C6A">
        <w:t xml:space="preserve"> any financial performance representation </w:t>
      </w:r>
      <w:r w:rsidR="00BA5991">
        <w:t>(a term used in the United States and includes other synonymous terms</w:t>
      </w:r>
      <w:r w:rsidR="00B90228">
        <w:t xml:space="preserve"> used in the industry.</w:t>
      </w:r>
      <w:r w:rsidR="00C2052A">
        <w:t xml:space="preserve"> </w:t>
      </w:r>
    </w:p>
  </w:footnote>
  <w:footnote w:id="3">
    <w:p w14:paraId="10911DFA" w14:textId="258F9C97" w:rsidR="00F017D6" w:rsidRDefault="00F017D6" w:rsidP="00F017D6">
      <w:pPr>
        <w:pStyle w:val="FootnoteText"/>
        <w:tabs>
          <w:tab w:val="clear" w:pos="720"/>
        </w:tabs>
        <w:ind w:left="0" w:firstLine="0"/>
      </w:pPr>
      <w:r>
        <w:rPr>
          <w:rStyle w:val="FootnoteReference"/>
        </w:rPr>
        <w:footnoteRef/>
      </w:r>
      <w:r>
        <w:t xml:space="preserve"> </w:t>
      </w:r>
      <w:r w:rsidRPr="00235FA5">
        <w:t xml:space="preserve">FOFI is generally defined in National Instrument 51-102 - Continuous Disclosure Obligations </w:t>
      </w:r>
      <w:r>
        <w:t>as: “disclosure regarding possible events, conditions or financial performance that is based on assumptions about future economic conditions and courses of action and includes future-oriented financial information with respect to prospective financial performance, financial position or cash flows that is presented as a forecast or a projection</w:t>
      </w:r>
      <w:r w:rsidR="004E307D">
        <w:t>.</w:t>
      </w:r>
      <w:r>
        <w:t>”</w:t>
      </w:r>
    </w:p>
  </w:footnote>
  <w:footnote w:id="4">
    <w:p w14:paraId="6EE7C74B" w14:textId="0F4F1FA1" w:rsidR="00D92365" w:rsidRPr="00D92365" w:rsidRDefault="00D92365">
      <w:pPr>
        <w:pStyle w:val="FootnoteText"/>
        <w:rPr>
          <w:lang w:val="en-US"/>
        </w:rPr>
      </w:pPr>
      <w:r>
        <w:rPr>
          <w:rStyle w:val="FootnoteReference"/>
        </w:rPr>
        <w:footnoteRef/>
      </w:r>
      <w:r>
        <w:t xml:space="preserve"> </w:t>
      </w:r>
      <w:sdt>
        <w:sdtPr>
          <w:tag w:val="eyJpZCI6IkNvbGxlY3Rpb24tMTEzMzgtc3RhdHV0ZTpDTDozMDYiLCJjaWQiOiIxMTMzOCIsImNvbnRyb2xJZCI6LTM2NTI4NzMxNCwiaHRtbCI6IjxhIGhyZWY9XCJodHRwczovL2NhbmxpaS5jYS90LzMwNlwiPjxlbT5BcnRodXIgV2lzaGFydCBBY3QgKEZyYW5jaGlzZSBEaXNjbG9zdXJlKSwgMjAwMCwgU08gMjAwMDwvZW0+PC9hPiwgMjAwMCwgU08gMjAwMCwgYyAzIiwidGV4dCI6IkFydGh1ciBXaXNoYXJ0IEFjdCAoRnJhbmNoaXNlIERpc2Nsb3N1cmUpLCAyMDAwLCBTTyAyMDAwLCAyMDAwLCBTTyAyMDAwLCBjIDMifQ=="/>
          <w:id w:val="-365287314"/>
          <w:lock w:val="contentLocked"/>
          <w:placeholder>
            <w:docPart w:val="DefaultPlaceholder_-1854013440"/>
          </w:placeholder>
        </w:sdtPr>
        <w:sdtContent>
          <w:hyperlink r:id="rId1" w:history="1">
            <w:r w:rsidR="00B35836">
              <w:rPr>
                <w:rStyle w:val="Emphasis"/>
                <w:color w:val="0000FF"/>
                <w:u w:val="single"/>
              </w:rPr>
              <w:t>Arthur Wishart Act (Franchise Disclosure), 2000, SO 2000</w:t>
            </w:r>
          </w:hyperlink>
          <w:r w:rsidR="00B35836">
            <w:t>, 2000, SO 2000, c 3</w:t>
          </w:r>
        </w:sdtContent>
      </w:sdt>
      <w:r w:rsidR="00B35836">
        <w:t>.</w:t>
      </w:r>
    </w:p>
  </w:footnote>
  <w:footnote w:id="5">
    <w:p w14:paraId="77A42D85" w14:textId="6E99A72D" w:rsidR="00D92365" w:rsidRPr="000771B2" w:rsidRDefault="00D92365">
      <w:pPr>
        <w:pStyle w:val="FootnoteText"/>
        <w:rPr>
          <w:lang w:val="pt-BR"/>
        </w:rPr>
      </w:pPr>
      <w:r>
        <w:rPr>
          <w:rStyle w:val="FootnoteReference"/>
        </w:rPr>
        <w:footnoteRef/>
      </w:r>
      <w:r w:rsidRPr="000771B2">
        <w:rPr>
          <w:lang w:val="pt-BR"/>
        </w:rPr>
        <w:t xml:space="preserve"> </w:t>
      </w:r>
      <w:sdt>
        <w:sdtPr>
          <w:tag w:val="eyJpZCI6IkNvbGxlY3Rpb24tMTEzMzgtc3RhdHV0ZTpDTDpzbmgiLCJjaWQiOiIxMTMzOCIsImNvbnRyb2xJZCI6LTE2Njg3ODExOTksImh0bWwiOiI8YSBocmVmPVwiaHR0cHM6Ly9jYW5saWkuY2EvdC9zbmhcIj48ZW0+R2VuZXJhbDwvZW0+PC9hPiwgTyBSZWcgNTgxLzAwLCAgWzxlbT5PIFJlZyA1ODEvMDA8L2VtPl0iLCJ0ZXh0IjoiR2VuZXJhbCwgTyBSZWcgNTgxLzAwLCAgW08gUmVnIDU4MS8wMF0ifQ=="/>
          <w:id w:val="-1668781199"/>
          <w:lock w:val="contentLocked"/>
          <w:placeholder>
            <w:docPart w:val="DefaultPlaceholder_-1854013440"/>
          </w:placeholder>
        </w:sdtPr>
        <w:sdtContent>
          <w:hyperlink r:id="rId2" w:history="1">
            <w:r w:rsidR="001A048C">
              <w:rPr>
                <w:rStyle w:val="Emphasis"/>
                <w:color w:val="0000FF"/>
                <w:u w:val="single"/>
              </w:rPr>
              <w:t>General</w:t>
            </w:r>
          </w:hyperlink>
          <w:r w:rsidR="001A048C">
            <w:t>, O Reg 581/00, [</w:t>
          </w:r>
          <w:r w:rsidR="001A048C">
            <w:rPr>
              <w:rStyle w:val="Emphasis"/>
            </w:rPr>
            <w:t>O Reg 581/00</w:t>
          </w:r>
          <w:r w:rsidR="001A048C">
            <w:t>]</w:t>
          </w:r>
        </w:sdtContent>
      </w:sdt>
      <w:r w:rsidR="00B35836" w:rsidRPr="000771B2">
        <w:rPr>
          <w:lang w:val="pt-BR"/>
        </w:rPr>
        <w:t>.</w:t>
      </w:r>
    </w:p>
  </w:footnote>
  <w:footnote w:id="6">
    <w:p w14:paraId="72F950A8" w14:textId="3EEBC342" w:rsidR="00507D8F" w:rsidRDefault="00507D8F">
      <w:pPr>
        <w:pStyle w:val="FootnoteText"/>
      </w:pPr>
      <w:r>
        <w:rPr>
          <w:rStyle w:val="FootnoteReference"/>
        </w:rPr>
        <w:footnoteRef/>
      </w:r>
      <w:r>
        <w:t xml:space="preserve"> Though the focus is on the Act, </w:t>
      </w:r>
      <w:r w:rsidR="00943610">
        <w:t xml:space="preserve">the analysis contained herein applies equally to franchise legislation across Canada. </w:t>
      </w:r>
    </w:p>
  </w:footnote>
  <w:footnote w:id="7">
    <w:p w14:paraId="7F782C99" w14:textId="04178EF7" w:rsidR="00BE49E7" w:rsidRPr="00BE49E7" w:rsidRDefault="00BE49E7">
      <w:pPr>
        <w:pStyle w:val="FootnoteText"/>
        <w:rPr>
          <w:lang w:val="en-US"/>
        </w:rPr>
      </w:pPr>
      <w:r>
        <w:rPr>
          <w:rStyle w:val="FootnoteReference"/>
        </w:rPr>
        <w:footnoteRef/>
      </w:r>
      <w:r>
        <w:t xml:space="preserve"> </w:t>
      </w:r>
      <w:sdt>
        <w:sdtPr>
          <w:tag w:val="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"/>
          <w:id w:val="-435443976"/>
          <w:lock w:val="contentLocked"/>
          <w:placeholder>
            <w:docPart w:val="DefaultPlaceholder_-1854013440"/>
          </w:placeholder>
        </w:sdtPr>
        <w:sdtContent>
          <w:hyperlink r:id="rId3" w:history="1">
            <w:r w:rsidR="00204460">
              <w:rPr>
                <w:rStyle w:val="Emphasis"/>
                <w:color w:val="0000FF"/>
                <w:u w:val="single"/>
              </w:rPr>
              <w:t>1490664 Ontario Ltd v Dig this Garden Retailers Ltd</w:t>
            </w:r>
          </w:hyperlink>
          <w:r w:rsidR="00204460">
            <w:t xml:space="preserve"> (2005), </w:t>
          </w:r>
          <w:hyperlink r:id="rId4" w:history="1">
            <w:r w:rsidR="00204460">
              <w:rPr>
                <w:rStyle w:val="Hyperlink"/>
              </w:rPr>
              <w:t>2005 CanLII 25181</w:t>
            </w:r>
          </w:hyperlink>
          <w:r w:rsidR="00204460">
            <w:t xml:space="preserve"> at paras </w:t>
          </w:r>
          <w:hyperlink r:id="rId5" w:anchor="par15" w:history="1">
            <w:r w:rsidR="00204460">
              <w:rPr>
                <w:rStyle w:val="Hyperlink"/>
              </w:rPr>
              <w:t>15-16</w:t>
            </w:r>
          </w:hyperlink>
          <w:r w:rsidR="00204460">
            <w:t xml:space="preserve">, </w:t>
          </w:r>
          <w:hyperlink r:id="rId6" w:anchor="par18" w:history="1">
            <w:r w:rsidR="00204460">
              <w:rPr>
                <w:rStyle w:val="Hyperlink"/>
              </w:rPr>
              <w:t>18-19</w:t>
            </w:r>
          </w:hyperlink>
          <w:r w:rsidR="00204460">
            <w:t xml:space="preserve"> (ONCA) [</w:t>
          </w:r>
          <w:r w:rsidR="00204460">
            <w:rPr>
              <w:rStyle w:val="Emphasis"/>
            </w:rPr>
            <w:t>Dig This Garden</w:t>
          </w:r>
          <w:r w:rsidR="00204460">
            <w:t>]</w:t>
          </w:r>
        </w:sdtContent>
      </w:sdt>
      <w:r w:rsidR="00204460">
        <w:t>.</w:t>
      </w:r>
      <w:r>
        <w:t xml:space="preserve"> </w:t>
      </w:r>
    </w:p>
  </w:footnote>
  <w:footnote w:id="8">
    <w:p w14:paraId="6194096B" w14:textId="30E53BCD" w:rsidR="00331443" w:rsidRDefault="00331443">
      <w:pPr>
        <w:pStyle w:val="FootnoteText"/>
      </w:pPr>
      <w:r>
        <w:rPr>
          <w:rStyle w:val="FootnoteReference"/>
        </w:rPr>
        <w:footnoteRef/>
      </w:r>
      <w:r>
        <w:t xml:space="preserve"> </w:t>
      </w:r>
      <w:r w:rsidRPr="00331443">
        <w:t>Reg</w:t>
      </w:r>
      <w:r w:rsidR="008A354C">
        <w:t>ulation ss</w:t>
      </w:r>
      <w:r w:rsidRPr="00331443">
        <w:t xml:space="preserve"> 6(3).</w:t>
      </w:r>
    </w:p>
  </w:footnote>
  <w:footnote w:id="9">
    <w:p w14:paraId="10CB4E00" w14:textId="77777777" w:rsidR="00F563DE" w:rsidRPr="00B811B2" w:rsidRDefault="00F563DE">
      <w:pPr>
        <w:pStyle w:val="FootnoteText"/>
        <w:rPr>
          <w:lang w:val="en-US"/>
        </w:rPr>
      </w:pPr>
      <w:r>
        <w:rPr>
          <w:rStyle w:val="FootnoteReference"/>
        </w:rPr>
        <w:footnoteRef/>
      </w:r>
      <w:r>
        <w:t xml:space="preserve"> </w:t>
      </w:r>
      <w:sdt>
        <w:sdtPr>
          <w:tag w:val="eyJpZCI6IkNMOjFsNXhrIiwiY2lkIjoiMTEzMzgiLCJjb250cm9sSWQiOi0zNjkyMjU1ODYsImh0bWwiOiI8YSBocmVmPVwiaHR0cHM6Ly9jYW5saWkuY2EvdC8xbDV4a1wiPjxlbT5EaWcgVGhpcyBHYXJkZW48L2VtPjwvYT4sIDxlbT5zdXByYTwvZW0+IG5vdGUgMyBhdCBwYXJhcyA8YSBocmVmPVwiaHR0cHM6Ly9jYW5saWkuY2EvdC8xbDV4ayNwYXIyMFwiPjIwLTIzPC9hPiIsInRleHQiOiJEaWcgVGhpcyBHYXJkZW4sIHN1cHJhIG5vdGUgMyBhdCBwYXJhcyAyMC0yMyIsImZvb3Rub3RlTnVtYmVyIjo3LCJwaW5wb2ludHMiOlsiMjAiLCIyMSIsIjIyIiwiMjMiXX0="/>
          <w:id w:val="-2051147862"/>
          <w:lock w:val="contentLocked"/>
          <w:placeholder>
            <w:docPart w:val="9CEB15729C994805A41FAAEE838D01C7"/>
          </w:placeholder>
        </w:sdtPr>
        <w:sdtContent>
          <w:hyperlink r:id="rId7" w:history="1">
            <w:r>
              <w:rPr>
                <w:rStyle w:val="Emphasis"/>
                <w:color w:val="0000FF"/>
                <w:u w:val="single"/>
              </w:rPr>
              <w:t>Dig This Garden</w:t>
            </w:r>
          </w:hyperlink>
          <w:r>
            <w:t xml:space="preserve">, </w:t>
          </w:r>
          <w:r>
            <w:rPr>
              <w:rStyle w:val="Emphasis"/>
            </w:rPr>
            <w:t>supra</w:t>
          </w:r>
          <w:r>
            <w:t xml:space="preserve"> note 3 at paras </w:t>
          </w:r>
          <w:hyperlink r:id="rId8" w:anchor="par20" w:history="1">
            <w:r>
              <w:rPr>
                <w:rStyle w:val="Hyperlink"/>
              </w:rPr>
              <w:t>20-23</w:t>
            </w:r>
          </w:hyperlink>
        </w:sdtContent>
      </w:sdt>
      <w:r>
        <w:t>.</w:t>
      </w:r>
    </w:p>
  </w:footnote>
  <w:footnote w:id="10">
    <w:p w14:paraId="0DB6B450" w14:textId="77777777" w:rsidR="006C5342" w:rsidRPr="00B811B2" w:rsidRDefault="006C5342">
      <w:pPr>
        <w:pStyle w:val="FootnoteText"/>
        <w:rPr>
          <w:lang w:val="en-US"/>
        </w:rPr>
      </w:pPr>
      <w:r>
        <w:rPr>
          <w:rStyle w:val="FootnoteReference"/>
        </w:rPr>
        <w:footnoteRef/>
      </w:r>
      <w:r>
        <w:t xml:space="preserve"> </w:t>
      </w:r>
      <w:sdt>
        <w:sdtPr>
          <w:tag w:val="eyJpZCI6IkNvbGxlY3Rpb24tMTEzMzgtc3RhdHV0ZTpDTDo4cWY0IiwiY2lkIjoiMTEzMzgiLCJwaW5wb2ludHMiOltdLCJjb250cm9sSWQiOjExODU0NzY0MTQsImh0bWwiOiI8YSBocmVmPVwiaHR0cHM6Ly9jYW5saWkuY2EvdC84cWY0XCI+PGVtPkZyYW5jaGlzZXMgUmVndWxhdGlvbjwvZW0+PC9hPiwgTWFuIFJlZyAyOS8yMDEyIiwidGV4dCI6IkZyYW5jaGlzZXMgUmVndWxhdGlvbiwgTWFuIFJlZyAyOS8yMDEyIiwiZm9vdG5vdGVOdW1iZXIiOjd9"/>
          <w:id w:val="1446738671"/>
          <w:lock w:val="contentLocked"/>
          <w:placeholder>
            <w:docPart w:val="2CE798EA3BFB428B89D9E113C604B0C1"/>
          </w:placeholder>
        </w:sdtPr>
        <w:sdtContent>
          <w:hyperlink r:id="rId9" w:history="1">
            <w:r>
              <w:rPr>
                <w:rStyle w:val="Emphasis"/>
                <w:color w:val="0000FF"/>
                <w:u w:val="single"/>
              </w:rPr>
              <w:t>Franchises Regulation</w:t>
            </w:r>
          </w:hyperlink>
          <w:r>
            <w:t>, Man Reg 29/2012</w:t>
          </w:r>
        </w:sdtContent>
      </w:sdt>
      <w:r>
        <w:t>, s 1(1).</w:t>
      </w:r>
    </w:p>
  </w:footnote>
  <w:footnote w:id="11">
    <w:p w14:paraId="35300CE6" w14:textId="77777777" w:rsidR="006C5342" w:rsidRPr="00E80180" w:rsidRDefault="006C5342">
      <w:pPr>
        <w:pStyle w:val="FootnoteText"/>
        <w:rPr>
          <w:lang w:val="en-US"/>
        </w:rPr>
      </w:pPr>
      <w:r>
        <w:rPr>
          <w:rStyle w:val="FootnoteReference"/>
        </w:rPr>
        <w:footnoteRef/>
      </w:r>
      <w:r>
        <w:t xml:space="preserve"> </w:t>
      </w:r>
      <w:hyperlink r:id="rId10" w:history="1">
        <w:r w:rsidRPr="00E80180">
          <w:rPr>
            <w:rStyle w:val="Hyperlink"/>
            <w:i/>
            <w:iCs/>
            <w:lang w:val="en-US"/>
          </w:rPr>
          <w:t>Disclosure Document Regulation,</w:t>
        </w:r>
      </w:hyperlink>
      <w:r>
        <w:rPr>
          <w:lang w:val="en-US"/>
        </w:rPr>
        <w:t xml:space="preserve"> NB Reg 2010-92, s 2(1).</w:t>
      </w:r>
    </w:p>
  </w:footnote>
  <w:footnote w:id="12">
    <w:p w14:paraId="0F6B9100" w14:textId="77777777" w:rsidR="006C5342" w:rsidRPr="00E80180" w:rsidRDefault="006C5342">
      <w:pPr>
        <w:pStyle w:val="FootnoteText"/>
        <w:rPr>
          <w:lang w:val="en-US"/>
        </w:rPr>
      </w:pPr>
      <w:r>
        <w:rPr>
          <w:rStyle w:val="FootnoteReference"/>
        </w:rPr>
        <w:footnoteRef/>
      </w:r>
      <w:r>
        <w:t xml:space="preserve"> </w:t>
      </w:r>
      <w:hyperlink r:id="rId11" w:history="1">
        <w:r w:rsidRPr="00E80180">
          <w:rPr>
            <w:rStyle w:val="Hyperlink"/>
            <w:i/>
            <w:iCs/>
          </w:rPr>
          <w:t>Franchises Act Regulations,</w:t>
        </w:r>
      </w:hyperlink>
      <w:r w:rsidRPr="00E80180">
        <w:t xml:space="preserve"> PEI Reg EC232/06</w:t>
      </w:r>
      <w:r>
        <w:t>, s 1(1)(c).</w:t>
      </w:r>
    </w:p>
  </w:footnote>
  <w:footnote w:id="13">
    <w:p w14:paraId="2CA65E61" w14:textId="77777777" w:rsidR="006C5342" w:rsidRPr="00E80180" w:rsidRDefault="006C5342">
      <w:pPr>
        <w:pStyle w:val="FootnoteText"/>
        <w:rPr>
          <w:lang w:val="en-US"/>
        </w:rPr>
      </w:pPr>
      <w:r>
        <w:rPr>
          <w:rStyle w:val="FootnoteReference"/>
        </w:rPr>
        <w:footnoteRef/>
      </w:r>
      <w:r>
        <w:t xml:space="preserve"> </w:t>
      </w:r>
      <w:hyperlink r:id="rId12" w:history="1">
        <w:r w:rsidRPr="00E80180">
          <w:rPr>
            <w:rStyle w:val="Hyperlink"/>
            <w:i/>
            <w:iCs/>
          </w:rPr>
          <w:t>Franchises Regulation,</w:t>
        </w:r>
      </w:hyperlink>
      <w:r w:rsidRPr="00E80180">
        <w:t xml:space="preserve"> BC Reg 238/2016</w:t>
      </w:r>
      <w:r>
        <w:t>, s 1(1).</w:t>
      </w:r>
    </w:p>
  </w:footnote>
  <w:footnote w:id="14">
    <w:p w14:paraId="25579D54" w14:textId="77777777" w:rsidR="001E6B04" w:rsidRPr="00204460" w:rsidRDefault="001E6B04">
      <w:pPr>
        <w:pStyle w:val="FootnoteText"/>
        <w:rPr>
          <w:lang w:val="en-US"/>
        </w:rPr>
      </w:pPr>
      <w:r>
        <w:rPr>
          <w:rStyle w:val="FootnoteReference"/>
        </w:rPr>
        <w:footnoteRef/>
      </w:r>
      <w:r>
        <w:t xml:space="preserve"> </w:t>
      </w:r>
      <w:sdt>
        <w:sdtPr>
          <w:tag w:val="eyJpZCI6IkNMOmZ4OGswIiwiY2lkIjoiMTEzMzgiLCJjb250cm9sSWQiOjE0MDA2MjUzNzcsImh0bWwiOiI8YSBocmVmPVwiaHR0cHM6Ly9jYW5saWkuY2EvdC9meDhrMFwiPjIwMTMgT05TQyAyNTkyPC9hPiIsInRleHQiOiIyMDEzIE9OU0MgMjU5MiIsImZvb3Rub3RlTnVtYmVyIjoxMiwiY29udGV4dCI6eyJzdXBwcmVzc1N0eWxlT2ZDYXVzZSI6dHJ1ZX19"/>
          <w:id w:val="1400625377"/>
          <w:lock w:val="contentLocked"/>
          <w:placeholder>
            <w:docPart w:val="2BB1072FF77F46DF919205D480C2DCF8"/>
          </w:placeholder>
        </w:sdtPr>
        <w:sdtContent>
          <w:hyperlink r:id="rId13" w:history="1">
            <w:r>
              <w:rPr>
                <w:rStyle w:val="Hyperlink"/>
              </w:rPr>
              <w:t>2013 ONSC 2592</w:t>
            </w:r>
          </w:hyperlink>
        </w:sdtContent>
      </w:sdt>
      <w:r>
        <w:t>.</w:t>
      </w:r>
    </w:p>
  </w:footnote>
  <w:footnote w:id="15">
    <w:p w14:paraId="2D3B5F6E" w14:textId="77777777" w:rsidR="001E6B04" w:rsidRPr="00204460" w:rsidRDefault="001E6B04" w:rsidP="00204460">
      <w:pPr>
        <w:pStyle w:val="FootnoteText"/>
        <w:ind w:left="0" w:firstLine="0"/>
        <w:rPr>
          <w:lang w:val="en-US"/>
        </w:rPr>
      </w:pPr>
      <w:r>
        <w:rPr>
          <w:rStyle w:val="FootnoteReference"/>
        </w:rPr>
        <w:footnoteRef/>
      </w:r>
      <w:r>
        <w:rPr>
          <w:lang w:val="en-US"/>
        </w:rPr>
        <w:t xml:space="preserve"> </w:t>
      </w:r>
      <w:sdt>
        <w:sdtPr>
          <w:rPr>
            <w:lang w:val="en-US"/>
          </w:rPr>
          <w:tag w:val="eyJpZCI6IkNMOmZ4OGswIiwiY2lkIjoiMTEzMzgiLCJwaW5wb2ludHMiOlsiMjkiXSwiY29udHJvbElkIjo1NDM2MTM0MSwiaHRtbCI6IjxhIGhyZWY9XCJodHRwczovL2NhbmxpaS5jYS90L2Z4OGswXCI+PGVtPkliaWQ8L2VtPjwvYT4gYXQgcGFyYSA8YSBocmVmPVwiaHR0cHM6Ly9jYW5saWkuY2EvdC9meDhrMCNwYXIyOVwiPjI5PC9hPiIsInRleHQiOiJJYmlkIGF0IHBhcmEgMjkifQ=="/>
          <w:id w:val="54361341"/>
          <w:lock w:val="contentLocked"/>
          <w:placeholder>
            <w:docPart w:val="2BB1072FF77F46DF919205D480C2DCF8"/>
          </w:placeholder>
        </w:sdtPr>
        <w:sdtContent>
          <w:hyperlink r:id="rId14" w:history="1">
            <w:r>
              <w:rPr>
                <w:rStyle w:val="Emphasis"/>
                <w:color w:val="0000FF"/>
                <w:u w:val="single"/>
              </w:rPr>
              <w:t>Ibid</w:t>
            </w:r>
          </w:hyperlink>
          <w:r>
            <w:t xml:space="preserve"> at para </w:t>
          </w:r>
          <w:hyperlink r:id="rId15" w:anchor="par29" w:history="1">
            <w:r>
              <w:rPr>
                <w:rStyle w:val="Hyperlink"/>
              </w:rPr>
              <w:t>29</w:t>
            </w:r>
          </w:hyperlink>
        </w:sdtContent>
      </w:sdt>
      <w:r>
        <w:rPr>
          <w:lang w:val="en-US"/>
        </w:rPr>
        <w:t>.</w:t>
      </w:r>
    </w:p>
  </w:footnote>
  <w:footnote w:id="16">
    <w:p w14:paraId="59C8D67A" w14:textId="77777777" w:rsidR="001E6B04" w:rsidRPr="00204460" w:rsidRDefault="001E6B04">
      <w:pPr>
        <w:pStyle w:val="FootnoteText"/>
        <w:rPr>
          <w:lang w:val="en-US"/>
        </w:rPr>
      </w:pPr>
      <w:r>
        <w:rPr>
          <w:rStyle w:val="FootnoteReference"/>
        </w:rPr>
        <w:footnoteRef/>
      </w:r>
      <w:r>
        <w:t xml:space="preserve"> </w:t>
      </w:r>
      <w:sdt>
        <w:sdtPr>
          <w:tag w:val="eyJpZCI6IkNMOmZ4OGswIiwiY2lkIjoiMTEzMzgiLCJjb250cm9sSWQiOjEwMjM2NjgxNTAsImh0bWwiOiI8YSBocmVmPVwiaHR0cHM6Ly9jYW5saWkuY2EvdC9meDhrMFwiPjxlbT5JYmlkPC9lbT48L2E+IGF0IHBhcmFzIDxhIGhyZWY9XCJodHRwczovL2NhbmxpaS5jYS90L2Z4OGswI3BhcjMwXCI+MzAtMzI8L2E+IiwidGV4dCI6IkliaWQgYXQgcGFyYXMgMzAtMzIiLCJmb290bm90ZU51bWJlciI6MTQsInBpbnBvaW50cyI6WyIzMCIsIjMxIiwiMzIiXX0="/>
          <w:id w:val="1023668150"/>
          <w:lock w:val="contentLocked"/>
          <w:placeholder>
            <w:docPart w:val="2BB1072FF77F46DF919205D480C2DCF8"/>
          </w:placeholder>
        </w:sdtPr>
        <w:sdtContent>
          <w:hyperlink r:id="rId16" w:history="1">
            <w:r>
              <w:rPr>
                <w:rStyle w:val="Emphasis"/>
                <w:color w:val="0000FF"/>
                <w:u w:val="single"/>
              </w:rPr>
              <w:t>Ibid</w:t>
            </w:r>
          </w:hyperlink>
          <w:r>
            <w:t xml:space="preserve"> at paras </w:t>
          </w:r>
          <w:hyperlink r:id="rId17" w:anchor="par30" w:history="1">
            <w:r>
              <w:rPr>
                <w:rStyle w:val="Hyperlink"/>
              </w:rPr>
              <w:t>30-32</w:t>
            </w:r>
          </w:hyperlink>
        </w:sdtContent>
      </w:sdt>
      <w:r>
        <w:t>.</w:t>
      </w:r>
    </w:p>
  </w:footnote>
  <w:footnote w:id="17">
    <w:p w14:paraId="08D8E628" w14:textId="77777777" w:rsidR="001E6B04" w:rsidRPr="00047543" w:rsidRDefault="001E6B04">
      <w:pPr>
        <w:pStyle w:val="FootnoteText"/>
        <w:rPr>
          <w:lang w:val="en-US"/>
        </w:rPr>
      </w:pPr>
      <w:r>
        <w:rPr>
          <w:rStyle w:val="FootnoteReference"/>
        </w:rPr>
        <w:footnoteRef/>
      </w:r>
      <w:r>
        <w:t xml:space="preserve"> </w:t>
      </w:r>
      <w:hyperlink r:id="rId18" w:history="1">
        <w:r>
          <w:rPr>
            <w:rStyle w:val="Emphasis"/>
            <w:color w:val="0000FF"/>
            <w:u w:val="single"/>
          </w:rPr>
          <w:t>Ibid</w:t>
        </w:r>
      </w:hyperlink>
      <w:r>
        <w:t xml:space="preserve"> at para </w:t>
      </w:r>
      <w:hyperlink r:id="rId19" w:anchor="par45:~:text=their%20proposed%20investment.-,%5B32%5D%C2%A0%C2%A0,-Without%20the%20ability" w:history="1">
        <w:r w:rsidRPr="00047543">
          <w:rPr>
            <w:rStyle w:val="Hyperlink"/>
          </w:rPr>
          <w:t>32</w:t>
        </w:r>
      </w:hyperlink>
      <w:r>
        <w:t>.</w:t>
      </w:r>
    </w:p>
  </w:footnote>
  <w:footnote w:id="18">
    <w:p w14:paraId="04024C39" w14:textId="77777777" w:rsidR="001E6B04" w:rsidRPr="00EE2120" w:rsidRDefault="001E6B04">
      <w:pPr>
        <w:pStyle w:val="FootnoteText"/>
        <w:rPr>
          <w:lang w:val="en-US"/>
        </w:rPr>
      </w:pPr>
      <w:r>
        <w:rPr>
          <w:rStyle w:val="FootnoteReference"/>
        </w:rPr>
        <w:footnoteRef/>
      </w:r>
      <w:r>
        <w:t xml:space="preserve"> </w:t>
      </w:r>
      <w:sdt>
        <w:sdtPr>
          <w:tag w:val="eyJpZCI6IkNMOmZ4OGswIiwiY2lkIjoiMTEzMzgiLCJjb250cm9sSWQiOi03OTA4MzA0MDksImh0bWwiOiI8YSBocmVmPVwiaHR0cHM6Ly9jYW5saWkuY2EvdC9meDhrMFwiPjxlbT5JYmlkPC9lbT48L2E+IGF0IHBhcmFzIDxhIGhyZWY9XCJodHRwczovL2NhbmxpaS5jYS90L2Z4OGswI3BhcjQ1XCI+NDUtNDY8L2E+IiwidGV4dCI6IkliaWQgYXQgcGFyYXMgNDUtNDYiLCJmb290bm90ZU51bWJlciI6MTYsInBpbnBvaW50cyI6WyI0NSIsIjQ2Il19"/>
          <w:id w:val="-790830409"/>
          <w:lock w:val="contentLocked"/>
          <w:placeholder>
            <w:docPart w:val="2BB1072FF77F46DF919205D480C2DCF8"/>
          </w:placeholder>
        </w:sdtPr>
        <w:sdtContent>
          <w:hyperlink r:id="rId20" w:history="1">
            <w:r>
              <w:rPr>
                <w:rStyle w:val="Emphasis"/>
                <w:color w:val="0000FF"/>
                <w:u w:val="single"/>
              </w:rPr>
              <w:t>Ibid</w:t>
            </w:r>
          </w:hyperlink>
          <w:r>
            <w:t xml:space="preserve"> at paras </w:t>
          </w:r>
          <w:hyperlink r:id="rId21" w:anchor="par45" w:history="1">
            <w:r>
              <w:rPr>
                <w:rStyle w:val="Hyperlink"/>
              </w:rPr>
              <w:t>45-46</w:t>
            </w:r>
          </w:hyperlink>
        </w:sdtContent>
      </w:sdt>
      <w:r>
        <w:t>.</w:t>
      </w:r>
    </w:p>
  </w:footnote>
  <w:footnote w:id="19">
    <w:p w14:paraId="6732E951" w14:textId="77777777" w:rsidR="001E6B04" w:rsidRPr="009A43A0" w:rsidRDefault="001E6B04">
      <w:pPr>
        <w:pStyle w:val="FootnoteText"/>
        <w:rPr>
          <w:lang w:val="en-US"/>
        </w:rPr>
      </w:pPr>
      <w:r>
        <w:rPr>
          <w:rStyle w:val="FootnoteReference"/>
        </w:rPr>
        <w:footnoteRef/>
      </w:r>
      <w:r>
        <w:t xml:space="preserve"> </w:t>
      </w:r>
      <w:sdt>
        <w:sdtPr>
          <w:tag w:val="eyJpZCI6IkNMOmhwbGg1IiwiY2lkIjoiMTEzMzgiLCJjb250cm9sSWQiOi05MzQyNzUzOTAsImh0bWwiOiI8YSBocmVmPVwiaHR0cHM6Ly9jYW5saWkuY2EvdC9ocGxoNVwiPjIwMTggT05TQyAxNDM8L2E+IiwidGV4dCI6IjIwMTggT05TQyAxNDMiLCJmb290bm90ZU51bWJlciI6MTcsImNvbnRleHQiOnsic3VwcHJlc3NTdHlsZU9mQ2F1c2UiOnRydWV9fQ=="/>
          <w:id w:val="-934275390"/>
          <w:lock w:val="contentLocked"/>
          <w:placeholder>
            <w:docPart w:val="2BB1072FF77F46DF919205D480C2DCF8"/>
          </w:placeholder>
        </w:sdtPr>
        <w:sdtContent>
          <w:hyperlink r:id="rId22" w:history="1">
            <w:r>
              <w:rPr>
                <w:rStyle w:val="Hyperlink"/>
              </w:rPr>
              <w:t>2018 ONSC 143</w:t>
            </w:r>
          </w:hyperlink>
        </w:sdtContent>
      </w:sdt>
      <w:r>
        <w:t>.</w:t>
      </w:r>
    </w:p>
  </w:footnote>
  <w:footnote w:id="20">
    <w:p w14:paraId="272DB4A0" w14:textId="77777777" w:rsidR="001E6B04" w:rsidRPr="009375EB" w:rsidRDefault="001E6B04">
      <w:pPr>
        <w:pStyle w:val="FootnoteText"/>
        <w:rPr>
          <w:lang w:val="en-US"/>
        </w:rPr>
      </w:pPr>
      <w:r>
        <w:rPr>
          <w:rStyle w:val="FootnoteReference"/>
        </w:rPr>
        <w:footnoteRef/>
      </w:r>
      <w:r>
        <w:t xml:space="preserve"> </w:t>
      </w:r>
      <w:sdt>
        <w:sdtPr>
          <w:tag w:val="eyJpZCI6IkNMOmhwbGg1IiwiY2lkIjoiMTEzMzgiLCJjb250cm9sSWQiOi0xNjYyMDAzMjY2LCJodG1sIjoiPGEgaHJlZj1cImh0dHBzOi8vY2FubGlpLmNhL3QvaHBsaDVcIj48ZW0+SWJpZDwvZW0+PC9hPiBhdCBwYXJhcyA8YSBocmVmPVwiaHR0cHM6Ly9jYW5saWkuY2EvdC9ocGxoNSNwYXIxMjBcIj4xMjAtMTIzPC9hPiwgPGEgaHJlZj1cImh0dHBzOi8vY2FubGlpLmNhL3QvaHBsaDUjcGFyMTI1XCI+MTI1LTEyODwvYT4iLCJ0ZXh0IjoiSWJpZCBhdCBwYXJhcyAxMjAtMTIzLCAxMjUtMTI4IiwiZm9vdG5vdGVOdW1iZXIiOjE4LCJwaW5wb2ludHMiOlsiMTIwIiwiMTIxIiwiMTIyIiwiMTIzIiwiMTI1IiwiMTI2IiwiMTI3IiwiMTI4Il19"/>
          <w:id w:val="-1662003266"/>
          <w:lock w:val="contentLocked"/>
          <w:placeholder>
            <w:docPart w:val="2BB1072FF77F46DF919205D480C2DCF8"/>
          </w:placeholder>
        </w:sdtPr>
        <w:sdtContent>
          <w:hyperlink r:id="rId23" w:history="1">
            <w:r>
              <w:rPr>
                <w:rStyle w:val="Emphasis"/>
                <w:color w:val="0000FF"/>
                <w:u w:val="single"/>
              </w:rPr>
              <w:t>Ibid</w:t>
            </w:r>
          </w:hyperlink>
          <w:r>
            <w:t xml:space="preserve"> at paras </w:t>
          </w:r>
          <w:hyperlink r:id="rId24" w:anchor="par120" w:history="1">
            <w:r>
              <w:rPr>
                <w:rStyle w:val="Hyperlink"/>
              </w:rPr>
              <w:t>120-123</w:t>
            </w:r>
          </w:hyperlink>
          <w:r>
            <w:t xml:space="preserve">, </w:t>
          </w:r>
          <w:hyperlink r:id="rId25" w:anchor="par125" w:history="1">
            <w:r>
              <w:rPr>
                <w:rStyle w:val="Hyperlink"/>
              </w:rPr>
              <w:t>125-128</w:t>
            </w:r>
          </w:hyperlink>
        </w:sdtContent>
      </w:sdt>
      <w:r>
        <w:t>.</w:t>
      </w:r>
    </w:p>
  </w:footnote>
  <w:footnote w:id="21">
    <w:p w14:paraId="1F771CB1" w14:textId="77777777" w:rsidR="001E6B04" w:rsidRPr="009375EB" w:rsidRDefault="001E6B04">
      <w:pPr>
        <w:pStyle w:val="FootnoteText"/>
        <w:rPr>
          <w:lang w:val="en-US"/>
        </w:rPr>
      </w:pPr>
      <w:r>
        <w:rPr>
          <w:rStyle w:val="FootnoteReference"/>
        </w:rPr>
        <w:footnoteRef/>
      </w:r>
      <w:r>
        <w:t xml:space="preserve"> </w:t>
      </w:r>
      <w:sdt>
        <w:sdtPr>
          <w:tag w:val="eyJpZCI6IkNMOmhwbGg1IiwiY2lkIjoiMTEzMzgiLCJjb250cm9sSWQiOi0xOTMzMDM4OTM1LCJodG1sIjoiPGEgaHJlZj1cImh0dHBzOi8vY2FubGlpLmNhL3QvaHBsaDVcIj48ZW0+SWJpZDwvZW0+PC9hPiBhdCBwYXJhcyA8YSBocmVmPVwiaHR0cHM6Ly9jYW5saWkuY2EvdC9ocGxoNSNwYXIxMjFcIj4xMjEtMTIyPC9hPiwgPGEgaHJlZj1cImh0dHBzOi8vY2FubGlpLmNhL3QvaHBsaDUjcGFyMTI3XCI+MTI3LTEyODwvYT4iLCJ0ZXh0IjoiSWJpZCBhdCBwYXJhcyAxMjEtMTIyLCAxMjctMTI4IiwiZm9vdG5vdGVOdW1iZXIiOjE5LCJwaW5wb2ludHMiOlsiMTIxIiwiMTIyIiwiMTI3IiwiMTI4Il19"/>
          <w:id w:val="-1933038935"/>
          <w:lock w:val="contentLocked"/>
          <w:placeholder>
            <w:docPart w:val="2BB1072FF77F46DF919205D480C2DCF8"/>
          </w:placeholder>
        </w:sdtPr>
        <w:sdtContent>
          <w:hyperlink r:id="rId26" w:history="1">
            <w:r>
              <w:rPr>
                <w:rStyle w:val="Emphasis"/>
                <w:color w:val="0000FF"/>
                <w:u w:val="single"/>
              </w:rPr>
              <w:t>Ibid</w:t>
            </w:r>
          </w:hyperlink>
          <w:r>
            <w:t xml:space="preserve"> at paras </w:t>
          </w:r>
          <w:hyperlink r:id="rId27" w:anchor="par121" w:history="1">
            <w:r>
              <w:rPr>
                <w:rStyle w:val="Hyperlink"/>
              </w:rPr>
              <w:t>121-122</w:t>
            </w:r>
          </w:hyperlink>
          <w:r>
            <w:t xml:space="preserve">, </w:t>
          </w:r>
          <w:hyperlink r:id="rId28" w:anchor="par127" w:history="1">
            <w:r>
              <w:rPr>
                <w:rStyle w:val="Hyperlink"/>
              </w:rPr>
              <w:t>127-128</w:t>
            </w:r>
          </w:hyperlink>
        </w:sdtContent>
      </w:sdt>
      <w:r>
        <w:t>.</w:t>
      </w:r>
    </w:p>
  </w:footnote>
  <w:footnote w:id="22">
    <w:p w14:paraId="37947F7A" w14:textId="77777777" w:rsidR="001E6B04" w:rsidRPr="00611B94" w:rsidRDefault="001E6B04">
      <w:pPr>
        <w:pStyle w:val="FootnoteText"/>
        <w:rPr>
          <w:lang w:val="en-US"/>
        </w:rPr>
      </w:pPr>
      <w:r>
        <w:rPr>
          <w:rStyle w:val="FootnoteReference"/>
        </w:rPr>
        <w:footnoteRef/>
      </w:r>
      <w:r>
        <w:t xml:space="preserve"> </w:t>
      </w:r>
      <w:sdt>
        <w:sdtPr>
          <w:tag w:val="eyJpZCI6IkNMOmhwbGg1IiwiY2lkIjoiMTEzMzgiLCJjb250cm9sSWQiOi03ODMxOTA2NzYsImh0bWwiOiI8YSBocmVmPVwiaHR0cHM6Ly9jYW5saWkuY2EvdC9ocGxoNVwiPjxlbT5JYmlkPC9lbT48L2E+IGF0IHBhcmFzIDxhIGhyZWY9XCJodHRwczovL2NhbmxpaS5jYS90L2hwbGg1I3BhcjEyM1wiPjEyMy0xMjQ8L2E+IiwidGV4dCI6IkliaWQgYXQgcGFyYXMgMTIzLTEyNCIsImZvb3Rub3RlTnVtYmVyIjoyMCwicGlucG9pbnRzIjpbIjEyMyIsIjEyNCJdfQ=="/>
          <w:id w:val="-783190676"/>
          <w:lock w:val="contentLocked"/>
          <w:placeholder>
            <w:docPart w:val="2BB1072FF77F46DF919205D480C2DCF8"/>
          </w:placeholder>
        </w:sdtPr>
        <w:sdtContent>
          <w:hyperlink r:id="rId29" w:history="1">
            <w:r>
              <w:rPr>
                <w:rStyle w:val="Emphasis"/>
                <w:color w:val="0000FF"/>
                <w:u w:val="single"/>
              </w:rPr>
              <w:t>Ibid</w:t>
            </w:r>
          </w:hyperlink>
          <w:r>
            <w:t xml:space="preserve"> at paras </w:t>
          </w:r>
          <w:hyperlink r:id="rId30" w:anchor="par123" w:history="1">
            <w:r>
              <w:rPr>
                <w:rStyle w:val="Hyperlink"/>
              </w:rPr>
              <w:t>123-124</w:t>
            </w:r>
          </w:hyperlink>
        </w:sdtContent>
      </w:sdt>
      <w:r>
        <w:t>.</w:t>
      </w:r>
    </w:p>
  </w:footnote>
  <w:footnote w:id="23">
    <w:p w14:paraId="56EB489B" w14:textId="77777777" w:rsidR="001E6B04" w:rsidRPr="00611B94" w:rsidRDefault="001E6B04">
      <w:pPr>
        <w:pStyle w:val="FootnoteText"/>
        <w:rPr>
          <w:lang w:val="en-US"/>
        </w:rPr>
      </w:pPr>
      <w:r>
        <w:rPr>
          <w:rStyle w:val="FootnoteReference"/>
        </w:rPr>
        <w:footnoteRef/>
      </w:r>
      <w:r>
        <w:t xml:space="preserve"> </w:t>
      </w:r>
      <w:sdt>
        <w:sdtPr>
          <w:tag w:val="eyJpZCI6IkNMOmgycHBwIiwiY2lkIjoiMTEzMzgiLCJjb250cm9sSWQiOjExMTg3Mjc1NjYsImh0bWwiOiI8YSBocmVmPVwiaHR0cHM6Ly9jYW5saWkuY2EvdC9oMnBwcFwiPjIwMTcgT05TQyAxNjQzPC9hPiIsInRleHQiOiIyMDE3IE9OU0MgMTY0MyIsImZvb3Rub3RlTnVtYmVyIjoyMSwiY29udGV4dCI6eyJzdXBwcmVzc1N0eWxlT2ZDYXVzZSI6dHJ1ZX19"/>
          <w:id w:val="1118727566"/>
          <w:lock w:val="contentLocked"/>
          <w:placeholder>
            <w:docPart w:val="2BB1072FF77F46DF919205D480C2DCF8"/>
          </w:placeholder>
        </w:sdtPr>
        <w:sdtContent>
          <w:hyperlink r:id="rId31" w:history="1">
            <w:r>
              <w:rPr>
                <w:rStyle w:val="Hyperlink"/>
              </w:rPr>
              <w:t>2017 ONSC 1643</w:t>
            </w:r>
          </w:hyperlink>
        </w:sdtContent>
      </w:sdt>
      <w:r>
        <w:t>.</w:t>
      </w:r>
    </w:p>
  </w:footnote>
  <w:footnote w:id="24">
    <w:p w14:paraId="1B4D419F" w14:textId="77777777" w:rsidR="001E6B04" w:rsidRPr="00611B94" w:rsidRDefault="001E6B04">
      <w:pPr>
        <w:pStyle w:val="FootnoteText"/>
        <w:rPr>
          <w:lang w:val="en-US"/>
        </w:rPr>
      </w:pPr>
      <w:r>
        <w:rPr>
          <w:rStyle w:val="FootnoteReference"/>
        </w:rPr>
        <w:footnoteRef/>
      </w:r>
      <w:r>
        <w:t xml:space="preserve"> </w:t>
      </w:r>
      <w:sdt>
        <w:sdtPr>
          <w:tag w:val="eyJpZCI6IkNMOmgycHBwIiwiY2lkIjoiMTEzMzgiLCJjb250cm9sSWQiOjczMzI4OTAwMywiaHRtbCI6IjxhIGhyZWY9XCJodHRwczovL2NhbmxpaS5jYS90L2gycHBwXCI+PGVtPkliaWQ8L2VtPjwvYT4gYXQgcGFyYXMgPGEgaHJlZj1cImh0dHBzOi8vY2FubGlpLmNhL3QvaDJwcHAjcGFyNDZcIj40NjwvYT4sIDxhIGhyZWY9XCJodHRwczovL2NhbmxpaS5jYS90L2gycHBwI3BhcjUzXCI+NTM8L2E+IiwidGV4dCI6IkliaWQgYXQgcGFyYXMgNDYsIDUzIiwiZm9vdG5vdGVOdW1iZXIiOjIyLCJwaW5wb2ludHMiOlsiNDYiLCI1MyJdfQ=="/>
          <w:id w:val="733289003"/>
          <w:lock w:val="contentLocked"/>
          <w:placeholder>
            <w:docPart w:val="2BB1072FF77F46DF919205D480C2DCF8"/>
          </w:placeholder>
        </w:sdtPr>
        <w:sdtContent>
          <w:hyperlink r:id="rId32" w:history="1">
            <w:r>
              <w:rPr>
                <w:rStyle w:val="Emphasis"/>
                <w:color w:val="0000FF"/>
                <w:u w:val="single"/>
              </w:rPr>
              <w:t>Ibid</w:t>
            </w:r>
          </w:hyperlink>
          <w:r>
            <w:t xml:space="preserve"> at paras </w:t>
          </w:r>
          <w:hyperlink r:id="rId33" w:anchor="par46" w:history="1">
            <w:r>
              <w:rPr>
                <w:rStyle w:val="Hyperlink"/>
              </w:rPr>
              <w:t>46</w:t>
            </w:r>
          </w:hyperlink>
          <w:r>
            <w:t xml:space="preserve">, </w:t>
          </w:r>
          <w:hyperlink r:id="rId34" w:anchor="par53" w:history="1">
            <w:r>
              <w:rPr>
                <w:rStyle w:val="Hyperlink"/>
              </w:rPr>
              <w:t>53</w:t>
            </w:r>
          </w:hyperlink>
        </w:sdtContent>
      </w:sdt>
      <w:r>
        <w:t>.</w:t>
      </w:r>
    </w:p>
  </w:footnote>
  <w:footnote w:id="25">
    <w:p w14:paraId="7DDB2608" w14:textId="77777777" w:rsidR="001E6B04" w:rsidRPr="009B52C4" w:rsidRDefault="001E6B04">
      <w:pPr>
        <w:pStyle w:val="FootnoteText"/>
        <w:rPr>
          <w:lang w:val="en-US"/>
        </w:rPr>
      </w:pPr>
      <w:r>
        <w:rPr>
          <w:rStyle w:val="FootnoteReference"/>
        </w:rPr>
        <w:footnoteRef/>
      </w:r>
      <w:r>
        <w:t xml:space="preserve"> </w:t>
      </w:r>
      <w:sdt>
        <w:sdtPr>
          <w:tag w:val="eyJpZCI6IkNMOmgycHBwIiwiY2lkIjoiMTEzMzgiLCJwaW5wb2ludHMiOlsiMjIiXSwiY29udHJvbElkIjotOTM4MzY4ODEwLCJodG1sIjoiPGEgaHJlZj1cImh0dHBzOi8vY2FubGlpLmNhL3QvaDJwcHBcIj48ZW0+SWJpZDwvZW0+PC9hPiBhdCBwYXJhIDxhIGhyZWY9XCJodHRwczovL2NhbmxpaS5jYS90L2gycHBwI3BhcjIyXCI+MjI8L2E+IiwidGV4dCI6IkliaWQgYXQgcGFyYSAyMiIsImZvb3Rub3RlTnVtYmVyIjoyM30="/>
          <w:id w:val="-938368810"/>
          <w:lock w:val="contentLocked"/>
          <w:placeholder>
            <w:docPart w:val="2BB1072FF77F46DF919205D480C2DCF8"/>
          </w:placeholder>
        </w:sdtPr>
        <w:sdtContent>
          <w:hyperlink r:id="rId35" w:history="1">
            <w:r>
              <w:rPr>
                <w:rStyle w:val="Emphasis"/>
                <w:color w:val="0000FF"/>
                <w:u w:val="single"/>
              </w:rPr>
              <w:t>Ibid</w:t>
            </w:r>
          </w:hyperlink>
          <w:r>
            <w:t xml:space="preserve"> at para </w:t>
          </w:r>
          <w:hyperlink r:id="rId36" w:anchor="par22" w:history="1">
            <w:r>
              <w:rPr>
                <w:rStyle w:val="Hyperlink"/>
              </w:rPr>
              <w:t>22</w:t>
            </w:r>
          </w:hyperlink>
        </w:sdtContent>
      </w:sdt>
      <w:r>
        <w:t>.</w:t>
      </w:r>
    </w:p>
  </w:footnote>
  <w:footnote w:id="26">
    <w:p w14:paraId="5B4F06BA" w14:textId="77777777" w:rsidR="001E6B04" w:rsidRPr="009B52C4" w:rsidRDefault="001E6B04">
      <w:pPr>
        <w:pStyle w:val="FootnoteText"/>
        <w:rPr>
          <w:lang w:val="en-US"/>
        </w:rPr>
      </w:pPr>
      <w:r>
        <w:rPr>
          <w:rStyle w:val="FootnoteReference"/>
        </w:rPr>
        <w:footnoteRef/>
      </w:r>
      <w:r>
        <w:t xml:space="preserve"> </w:t>
      </w:r>
      <w:sdt>
        <w:sdtPr>
          <w:tag w:val="eyJpZCI6IkNMOmgycHBwIiwiY2lkIjoiMTEzMzgiLCJjb250cm9sSWQiOi0xNzI0NzQzNzI0LCJodG1sIjoiPGEgaHJlZj1cImh0dHBzOi8vY2FubGlpLmNhL3QvaDJwcHBcIj48ZW0+SWJpZDwvZW0+PC9hPiBhdCBwYXJhcyA8YSBocmVmPVwiaHR0cHM6Ly9jYW5saWkuY2EvdC9oMnBwcCNwYXI1MFwiPjUwLTUzPC9hPiIsInRleHQiOiJJYmlkIGF0IHBhcmFzIDUwLTUzIiwiZm9vdG5vdGVOdW1iZXIiOjI0LCJwaW5wb2ludHMiOlsiNTAiLCI1MSIsIjUyIiwiNTMiXX0="/>
          <w:id w:val="-1724743724"/>
          <w:lock w:val="contentLocked"/>
          <w:placeholder>
            <w:docPart w:val="2BB1072FF77F46DF919205D480C2DCF8"/>
          </w:placeholder>
        </w:sdtPr>
        <w:sdtContent>
          <w:hyperlink r:id="rId37" w:history="1">
            <w:r>
              <w:rPr>
                <w:rStyle w:val="Emphasis"/>
                <w:color w:val="0000FF"/>
                <w:u w:val="single"/>
              </w:rPr>
              <w:t>Ibid</w:t>
            </w:r>
          </w:hyperlink>
          <w:r>
            <w:t xml:space="preserve"> at paras </w:t>
          </w:r>
          <w:hyperlink r:id="rId38" w:anchor="par50" w:history="1">
            <w:r>
              <w:rPr>
                <w:rStyle w:val="Hyperlink"/>
              </w:rPr>
              <w:t>50-53</w:t>
            </w:r>
          </w:hyperlink>
        </w:sdtContent>
      </w:sdt>
      <w:r>
        <w:t>.</w:t>
      </w:r>
    </w:p>
  </w:footnote>
  <w:footnote w:id="27">
    <w:p w14:paraId="0A549C0F" w14:textId="77777777" w:rsidR="006B1C5D" w:rsidRPr="00CC3B05" w:rsidRDefault="006B1C5D" w:rsidP="006B1C5D">
      <w:pPr>
        <w:pStyle w:val="FootnoteText"/>
      </w:pPr>
      <w:r>
        <w:rPr>
          <w:rStyle w:val="FootnoteReference"/>
        </w:rPr>
        <w:footnoteRef/>
      </w:r>
      <w:r>
        <w:t xml:space="preserve"> </w:t>
      </w:r>
      <w:proofErr w:type="gramStart"/>
      <w:r>
        <w:t>In order for</w:t>
      </w:r>
      <w:proofErr w:type="gramEnd"/>
      <w:r>
        <w:t xml:space="preserve"> CAMOKO Restaurants to provide the Earnings Projection it wants to it has to assume away the impact of COVID in Year 1.  </w:t>
      </w:r>
    </w:p>
  </w:footnote>
  <w:footnote w:id="28">
    <w:p w14:paraId="6AF3A1D8" w14:textId="77777777" w:rsidR="006B1C5D" w:rsidRPr="001336ED" w:rsidRDefault="006B1C5D" w:rsidP="006B1C5D">
      <w:pPr>
        <w:pStyle w:val="FootnoteText"/>
      </w:pPr>
      <w:r>
        <w:rPr>
          <w:rStyle w:val="FootnoteReference"/>
        </w:rPr>
        <w:footnoteRef/>
      </w:r>
      <w:r>
        <w:t xml:space="preserve"> Gross Revenues dropped about 30% in Year 1 (COVID Shock), recovered in Year 2, and completely rebounded in Year 3.   </w:t>
      </w:r>
    </w:p>
  </w:footnote>
  <w:footnote w:id="29">
    <w:p w14:paraId="1F94D6BA" w14:textId="77777777" w:rsidR="006B1C5D" w:rsidRPr="00A30DA3" w:rsidRDefault="006B1C5D" w:rsidP="006B1C5D">
      <w:pPr>
        <w:pStyle w:val="FootnoteText"/>
      </w:pPr>
      <w:r>
        <w:rPr>
          <w:rStyle w:val="FootnoteReference"/>
        </w:rPr>
        <w:footnoteRef/>
      </w:r>
      <w:r>
        <w:t xml:space="preserve"> Assumes labour costs are reduced since there is more takeout.  </w:t>
      </w:r>
    </w:p>
  </w:footnote>
  <w:footnote w:id="30">
    <w:p w14:paraId="2BFE6FC5" w14:textId="77777777" w:rsidR="006B1C5D" w:rsidRPr="00010A98" w:rsidRDefault="006B1C5D" w:rsidP="006B1C5D">
      <w:pPr>
        <w:pStyle w:val="FootnoteText"/>
      </w:pPr>
      <w:r>
        <w:rPr>
          <w:rStyle w:val="FootnoteReference"/>
        </w:rPr>
        <w:footnoteRef/>
      </w:r>
      <w:r>
        <w:t xml:space="preserve"> Franchisee </w:t>
      </w:r>
      <w:proofErr w:type="gramStart"/>
      <w:r>
        <w:t>has to</w:t>
      </w:r>
      <w:proofErr w:type="gramEnd"/>
      <w:r>
        <w:t xml:space="preserve"> remit from their own funds $38,000 to bank for repayment of Bank Financing in Year 1, and $3,200 in Year 2. </w:t>
      </w:r>
    </w:p>
  </w:footnote>
  <w:footnote w:id="31">
    <w:p w14:paraId="5B129602" w14:textId="77777777" w:rsidR="006B1C5D" w:rsidRPr="001336ED" w:rsidRDefault="006B1C5D" w:rsidP="006B1C5D">
      <w:pPr>
        <w:pStyle w:val="FootnoteText"/>
      </w:pPr>
      <w:r>
        <w:rPr>
          <w:rStyle w:val="FootnoteReference"/>
        </w:rPr>
        <w:footnoteRef/>
      </w:r>
      <w:r>
        <w:t xml:space="preserve"> Assumes Gross Revenues decrease 10% across all years.  </w:t>
      </w:r>
    </w:p>
  </w:footnote>
  <w:footnote w:id="32">
    <w:p w14:paraId="7311A277" w14:textId="77777777" w:rsidR="006B1C5D" w:rsidRPr="001336ED" w:rsidRDefault="006B1C5D" w:rsidP="006B1C5D">
      <w:pPr>
        <w:pStyle w:val="FootnoteText"/>
      </w:pPr>
      <w:r>
        <w:rPr>
          <w:rStyle w:val="FootnoteReference"/>
        </w:rPr>
        <w:footnoteRef/>
      </w:r>
      <w:r>
        <w:t xml:space="preserve"> Assumes COGS increases to 40%.    </w:t>
      </w:r>
    </w:p>
  </w:footnote>
  <w:footnote w:id="33">
    <w:p w14:paraId="0692A3F9" w14:textId="77777777" w:rsidR="006B1C5D" w:rsidRPr="00A755B5" w:rsidRDefault="006B1C5D" w:rsidP="006B1C5D">
      <w:pPr>
        <w:pStyle w:val="FootnoteText"/>
      </w:pPr>
      <w:r>
        <w:rPr>
          <w:rStyle w:val="FootnoteReference"/>
        </w:rPr>
        <w:footnoteRef/>
      </w:r>
      <w:r>
        <w:t xml:space="preserve"> </w:t>
      </w:r>
      <w:r w:rsidRPr="00A755B5">
        <w:t xml:space="preserve">This scenario demonstrates how sensitive quick service restaurants are to small changes in revenue and food costs. A 10% sales decline combined with a 5% increase in COGS </w:t>
      </w:r>
      <w:r>
        <w:t>severely impact</w:t>
      </w:r>
      <w:r w:rsidRPr="00A755B5">
        <w:t xml:space="preserve"> profitability.</w:t>
      </w:r>
    </w:p>
  </w:footnote>
  <w:footnote w:id="34">
    <w:p w14:paraId="42A93AEF" w14:textId="77777777" w:rsidR="006B1C5D" w:rsidRPr="00010A98" w:rsidRDefault="006B1C5D" w:rsidP="006B1C5D">
      <w:pPr>
        <w:pStyle w:val="FootnoteText"/>
      </w:pPr>
      <w:r>
        <w:rPr>
          <w:rStyle w:val="FootnoteReference"/>
        </w:rPr>
        <w:footnoteRef/>
      </w:r>
      <w:r>
        <w:t xml:space="preserve"> Franchisee </w:t>
      </w:r>
      <w:proofErr w:type="gramStart"/>
      <w:r>
        <w:t>has to</w:t>
      </w:r>
      <w:proofErr w:type="gramEnd"/>
      <w:r>
        <w:t xml:space="preserve"> remit from their own funds $71,712 to bank for repayment of Bank Financing in Year 1, $61,795 in Year 2 and $51,387 in Year 3.  </w:t>
      </w:r>
    </w:p>
    <w:p w14:paraId="7146B47E" w14:textId="77777777" w:rsidR="006B1C5D" w:rsidRPr="00010A98" w:rsidRDefault="006B1C5D" w:rsidP="006B1C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CC89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04484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6CB1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4854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28A0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4C40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7A89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C067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727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56EE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1C72"/>
    <w:multiLevelType w:val="hybridMultilevel"/>
    <w:tmpl w:val="554E13CC"/>
    <w:lvl w:ilvl="0" w:tplc="DDB4FA08">
      <w:start w:val="1"/>
      <w:numFmt w:val="decimal"/>
      <w:lvlText w:val="%1."/>
      <w:lvlJc w:val="left"/>
      <w:pPr>
        <w:tabs>
          <w:tab w:val="num" w:pos="360"/>
        </w:tabs>
        <w:ind w:left="360" w:hanging="360"/>
      </w:pPr>
      <w:rPr>
        <w:rFonts w:cs="Times New Roman" w:hint="default"/>
        <w:b/>
        <w:sz w:val="24"/>
        <w:szCs w:val="24"/>
      </w:rPr>
    </w:lvl>
    <w:lvl w:ilvl="1" w:tplc="1009000F">
      <w:start w:val="1"/>
      <w:numFmt w:val="decimal"/>
      <w:lvlText w:val="%2."/>
      <w:lvlJc w:val="left"/>
      <w:pPr>
        <w:tabs>
          <w:tab w:val="num" w:pos="1080"/>
        </w:tabs>
        <w:ind w:left="1080" w:hanging="360"/>
      </w:pPr>
      <w:rPr>
        <w:rFonts w:cs="Times New Roman" w:hint="default"/>
        <w:b/>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1C2AEA"/>
    <w:multiLevelType w:val="hybridMultilevel"/>
    <w:tmpl w:val="EBFCCBD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0E018FF"/>
    <w:multiLevelType w:val="multilevel"/>
    <w:tmpl w:val="D59ECC0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2E1754B"/>
    <w:multiLevelType w:val="hybridMultilevel"/>
    <w:tmpl w:val="417463B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4" w15:restartNumberingAfterBreak="0">
    <w:nsid w:val="13A54BB1"/>
    <w:multiLevelType w:val="hybridMultilevel"/>
    <w:tmpl w:val="6F885774"/>
    <w:lvl w:ilvl="0" w:tplc="75E695A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3FA14A2"/>
    <w:multiLevelType w:val="hybridMultilevel"/>
    <w:tmpl w:val="9084948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3B613B"/>
    <w:multiLevelType w:val="hybridMultilevel"/>
    <w:tmpl w:val="5F8E60F2"/>
    <w:lvl w:ilvl="0" w:tplc="F3D0128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DC12440"/>
    <w:multiLevelType w:val="hybridMultilevel"/>
    <w:tmpl w:val="BAF4D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95AA7"/>
    <w:multiLevelType w:val="hybridMultilevel"/>
    <w:tmpl w:val="809EAE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B239EC"/>
    <w:multiLevelType w:val="multilevel"/>
    <w:tmpl w:val="AD02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71B40"/>
    <w:multiLevelType w:val="hybridMultilevel"/>
    <w:tmpl w:val="188E7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EA4BDE"/>
    <w:multiLevelType w:val="hybridMultilevel"/>
    <w:tmpl w:val="B0DA4F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B302526"/>
    <w:multiLevelType w:val="hybridMultilevel"/>
    <w:tmpl w:val="C4081D5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4BF40257"/>
    <w:multiLevelType w:val="hybridMultilevel"/>
    <w:tmpl w:val="A364CE92"/>
    <w:lvl w:ilvl="0" w:tplc="682241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BA50E3"/>
    <w:multiLevelType w:val="hybridMultilevel"/>
    <w:tmpl w:val="66D221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577526"/>
    <w:multiLevelType w:val="hybridMultilevel"/>
    <w:tmpl w:val="BAF4D20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E2F6FCC"/>
    <w:multiLevelType w:val="hybridMultilevel"/>
    <w:tmpl w:val="68F274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E8726C0"/>
    <w:multiLevelType w:val="hybridMultilevel"/>
    <w:tmpl w:val="BAF4D20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0207F05"/>
    <w:multiLevelType w:val="hybridMultilevel"/>
    <w:tmpl w:val="6EDC6D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5F17C6"/>
    <w:multiLevelType w:val="multilevel"/>
    <w:tmpl w:val="378EB60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4CD2789"/>
    <w:multiLevelType w:val="singleLevel"/>
    <w:tmpl w:val="0A1AC80C"/>
    <w:name w:val="Bullet"/>
    <w:lvl w:ilvl="0">
      <w:start w:val="1"/>
      <w:numFmt w:val="bullet"/>
      <w:lvlText w:val=""/>
      <w:lvlJc w:val="left"/>
      <w:pPr>
        <w:tabs>
          <w:tab w:val="num" w:pos="720"/>
        </w:tabs>
        <w:ind w:left="720" w:hanging="720"/>
      </w:pPr>
      <w:rPr>
        <w:rFonts w:ascii="Symbol" w:hAnsi="Symbol" w:hint="default"/>
        <w:b w:val="0"/>
        <w:i w:val="0"/>
        <w:sz w:val="24"/>
      </w:rPr>
    </w:lvl>
  </w:abstractNum>
  <w:abstractNum w:abstractNumId="31" w15:restartNumberingAfterBreak="0">
    <w:nsid w:val="74D72C59"/>
    <w:multiLevelType w:val="multilevel"/>
    <w:tmpl w:val="1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9BB4CF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3400FF"/>
    <w:multiLevelType w:val="hybridMultilevel"/>
    <w:tmpl w:val="C1348876"/>
    <w:lvl w:ilvl="0" w:tplc="10090015">
      <w:start w:val="2"/>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F2D2469"/>
    <w:multiLevelType w:val="hybridMultilevel"/>
    <w:tmpl w:val="F41ED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192197">
    <w:abstractNumId w:val="30"/>
  </w:num>
  <w:num w:numId="2" w16cid:durableId="1822187091">
    <w:abstractNumId w:val="9"/>
  </w:num>
  <w:num w:numId="3" w16cid:durableId="1714697496">
    <w:abstractNumId w:val="7"/>
  </w:num>
  <w:num w:numId="4" w16cid:durableId="1662583305">
    <w:abstractNumId w:val="6"/>
  </w:num>
  <w:num w:numId="5" w16cid:durableId="93943973">
    <w:abstractNumId w:val="5"/>
  </w:num>
  <w:num w:numId="6" w16cid:durableId="1318999085">
    <w:abstractNumId w:val="4"/>
  </w:num>
  <w:num w:numId="7" w16cid:durableId="607202797">
    <w:abstractNumId w:val="8"/>
  </w:num>
  <w:num w:numId="8" w16cid:durableId="1596137145">
    <w:abstractNumId w:val="3"/>
  </w:num>
  <w:num w:numId="9" w16cid:durableId="1800763943">
    <w:abstractNumId w:val="2"/>
  </w:num>
  <w:num w:numId="10" w16cid:durableId="1306666962">
    <w:abstractNumId w:val="1"/>
  </w:num>
  <w:num w:numId="11" w16cid:durableId="929432357">
    <w:abstractNumId w:val="0"/>
  </w:num>
  <w:num w:numId="12" w16cid:durableId="603420325">
    <w:abstractNumId w:val="12"/>
  </w:num>
  <w:num w:numId="13" w16cid:durableId="13583537">
    <w:abstractNumId w:val="29"/>
  </w:num>
  <w:num w:numId="14" w16cid:durableId="116677683">
    <w:abstractNumId w:val="32"/>
  </w:num>
  <w:num w:numId="15" w16cid:durableId="1022170912">
    <w:abstractNumId w:val="31"/>
  </w:num>
  <w:num w:numId="16" w16cid:durableId="1968777138">
    <w:abstractNumId w:val="34"/>
  </w:num>
  <w:num w:numId="17" w16cid:durableId="796682779">
    <w:abstractNumId w:val="17"/>
  </w:num>
  <w:num w:numId="18" w16cid:durableId="1169173114">
    <w:abstractNumId w:val="23"/>
  </w:num>
  <w:num w:numId="19" w16cid:durableId="1303314837">
    <w:abstractNumId w:val="27"/>
  </w:num>
  <w:num w:numId="20" w16cid:durableId="2136750894">
    <w:abstractNumId w:val="25"/>
  </w:num>
  <w:num w:numId="21" w16cid:durableId="210847789">
    <w:abstractNumId w:val="24"/>
  </w:num>
  <w:num w:numId="22" w16cid:durableId="122968538">
    <w:abstractNumId w:val="22"/>
  </w:num>
  <w:num w:numId="23" w16cid:durableId="983312332">
    <w:abstractNumId w:val="11"/>
  </w:num>
  <w:num w:numId="24" w16cid:durableId="196479381">
    <w:abstractNumId w:val="28"/>
  </w:num>
  <w:num w:numId="25" w16cid:durableId="1733427591">
    <w:abstractNumId w:val="18"/>
  </w:num>
  <w:num w:numId="26" w16cid:durableId="1284842736">
    <w:abstractNumId w:val="14"/>
  </w:num>
  <w:num w:numId="27" w16cid:durableId="320159079">
    <w:abstractNumId w:val="19"/>
  </w:num>
  <w:num w:numId="28" w16cid:durableId="2068988460">
    <w:abstractNumId w:val="33"/>
  </w:num>
  <w:num w:numId="29" w16cid:durableId="2104302224">
    <w:abstractNumId w:val="26"/>
  </w:num>
  <w:num w:numId="30" w16cid:durableId="174030339">
    <w:abstractNumId w:val="16"/>
  </w:num>
  <w:num w:numId="31" w16cid:durableId="387262962">
    <w:abstractNumId w:val="15"/>
  </w:num>
  <w:num w:numId="32" w16cid:durableId="1570849485">
    <w:abstractNumId w:val="10"/>
  </w:num>
  <w:num w:numId="33" w16cid:durableId="2031180958">
    <w:abstractNumId w:val="21"/>
  </w:num>
  <w:num w:numId="34" w16cid:durableId="1704360487">
    <w:abstractNumId w:val="20"/>
  </w:num>
  <w:num w:numId="35" w16cid:durableId="137302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B0409C"/>
    <w:rsid w:val="000019C0"/>
    <w:rsid w:val="0000347A"/>
    <w:rsid w:val="00004CB9"/>
    <w:rsid w:val="00015B33"/>
    <w:rsid w:val="0001669C"/>
    <w:rsid w:val="00030F53"/>
    <w:rsid w:val="0003730F"/>
    <w:rsid w:val="0004209F"/>
    <w:rsid w:val="00046756"/>
    <w:rsid w:val="00047543"/>
    <w:rsid w:val="00055437"/>
    <w:rsid w:val="000679C4"/>
    <w:rsid w:val="0007086D"/>
    <w:rsid w:val="00070DE1"/>
    <w:rsid w:val="0007501B"/>
    <w:rsid w:val="000771B2"/>
    <w:rsid w:val="0008394C"/>
    <w:rsid w:val="000844E1"/>
    <w:rsid w:val="000946DC"/>
    <w:rsid w:val="00096344"/>
    <w:rsid w:val="000A05D6"/>
    <w:rsid w:val="000B08A1"/>
    <w:rsid w:val="000B2BB4"/>
    <w:rsid w:val="000B643B"/>
    <w:rsid w:val="000E4559"/>
    <w:rsid w:val="000E72F1"/>
    <w:rsid w:val="000F56C8"/>
    <w:rsid w:val="000F7EA6"/>
    <w:rsid w:val="00103A55"/>
    <w:rsid w:val="00113851"/>
    <w:rsid w:val="001249F9"/>
    <w:rsid w:val="001263DD"/>
    <w:rsid w:val="00127B7C"/>
    <w:rsid w:val="00130424"/>
    <w:rsid w:val="001424F2"/>
    <w:rsid w:val="001517D3"/>
    <w:rsid w:val="0016289E"/>
    <w:rsid w:val="0017233F"/>
    <w:rsid w:val="0017709C"/>
    <w:rsid w:val="00182C58"/>
    <w:rsid w:val="00191620"/>
    <w:rsid w:val="001A048C"/>
    <w:rsid w:val="001A11B7"/>
    <w:rsid w:val="001A1C09"/>
    <w:rsid w:val="001B2606"/>
    <w:rsid w:val="001B30F4"/>
    <w:rsid w:val="001B38CF"/>
    <w:rsid w:val="001B60CD"/>
    <w:rsid w:val="001C303C"/>
    <w:rsid w:val="001C509C"/>
    <w:rsid w:val="001D0862"/>
    <w:rsid w:val="001D4EBE"/>
    <w:rsid w:val="001D5927"/>
    <w:rsid w:val="001E357A"/>
    <w:rsid w:val="001E3700"/>
    <w:rsid w:val="001E6B04"/>
    <w:rsid w:val="001F601F"/>
    <w:rsid w:val="00200B79"/>
    <w:rsid w:val="00201C45"/>
    <w:rsid w:val="00202CBF"/>
    <w:rsid w:val="00203C3C"/>
    <w:rsid w:val="00204460"/>
    <w:rsid w:val="002105B2"/>
    <w:rsid w:val="00212691"/>
    <w:rsid w:val="00213175"/>
    <w:rsid w:val="00213C6E"/>
    <w:rsid w:val="002162A5"/>
    <w:rsid w:val="00221398"/>
    <w:rsid w:val="00226675"/>
    <w:rsid w:val="00234978"/>
    <w:rsid w:val="00247AE3"/>
    <w:rsid w:val="00252607"/>
    <w:rsid w:val="00253D79"/>
    <w:rsid w:val="00255363"/>
    <w:rsid w:val="00261B91"/>
    <w:rsid w:val="0026233F"/>
    <w:rsid w:val="0027783F"/>
    <w:rsid w:val="00282B6B"/>
    <w:rsid w:val="002871F4"/>
    <w:rsid w:val="002B0445"/>
    <w:rsid w:val="002B3CF4"/>
    <w:rsid w:val="002C0313"/>
    <w:rsid w:val="002C1AE6"/>
    <w:rsid w:val="002C7B43"/>
    <w:rsid w:val="002D5A36"/>
    <w:rsid w:val="002F1AB5"/>
    <w:rsid w:val="003019AF"/>
    <w:rsid w:val="00304BB3"/>
    <w:rsid w:val="00316F8E"/>
    <w:rsid w:val="003176B6"/>
    <w:rsid w:val="00323170"/>
    <w:rsid w:val="00331443"/>
    <w:rsid w:val="0034073C"/>
    <w:rsid w:val="00342052"/>
    <w:rsid w:val="00342DD2"/>
    <w:rsid w:val="00352DC2"/>
    <w:rsid w:val="00355A01"/>
    <w:rsid w:val="00355C93"/>
    <w:rsid w:val="00387523"/>
    <w:rsid w:val="003A5303"/>
    <w:rsid w:val="003B02C9"/>
    <w:rsid w:val="003B52B9"/>
    <w:rsid w:val="003B7884"/>
    <w:rsid w:val="003C35C6"/>
    <w:rsid w:val="003D217C"/>
    <w:rsid w:val="003F47BF"/>
    <w:rsid w:val="00402298"/>
    <w:rsid w:val="004135E8"/>
    <w:rsid w:val="00423D22"/>
    <w:rsid w:val="0042542A"/>
    <w:rsid w:val="004279C6"/>
    <w:rsid w:val="004313F1"/>
    <w:rsid w:val="00431F2F"/>
    <w:rsid w:val="00442913"/>
    <w:rsid w:val="00446DD9"/>
    <w:rsid w:val="004704BA"/>
    <w:rsid w:val="0047263C"/>
    <w:rsid w:val="004906B8"/>
    <w:rsid w:val="00491C25"/>
    <w:rsid w:val="00495187"/>
    <w:rsid w:val="00496F44"/>
    <w:rsid w:val="004B104B"/>
    <w:rsid w:val="004B4003"/>
    <w:rsid w:val="004E3001"/>
    <w:rsid w:val="004E307D"/>
    <w:rsid w:val="004F3BFE"/>
    <w:rsid w:val="004F4F63"/>
    <w:rsid w:val="004F65DE"/>
    <w:rsid w:val="005037B6"/>
    <w:rsid w:val="00507D8F"/>
    <w:rsid w:val="005134D2"/>
    <w:rsid w:val="00532F58"/>
    <w:rsid w:val="00533B40"/>
    <w:rsid w:val="005418FE"/>
    <w:rsid w:val="00542DDA"/>
    <w:rsid w:val="00546B22"/>
    <w:rsid w:val="005511DB"/>
    <w:rsid w:val="00552556"/>
    <w:rsid w:val="00555919"/>
    <w:rsid w:val="0056446D"/>
    <w:rsid w:val="00565BB7"/>
    <w:rsid w:val="0057347D"/>
    <w:rsid w:val="00574207"/>
    <w:rsid w:val="00575AC6"/>
    <w:rsid w:val="00584F39"/>
    <w:rsid w:val="00591FB3"/>
    <w:rsid w:val="00594B12"/>
    <w:rsid w:val="005A3A43"/>
    <w:rsid w:val="005B1932"/>
    <w:rsid w:val="005B7046"/>
    <w:rsid w:val="005C5503"/>
    <w:rsid w:val="005C7E0E"/>
    <w:rsid w:val="005E3591"/>
    <w:rsid w:val="005E6DFD"/>
    <w:rsid w:val="005E7294"/>
    <w:rsid w:val="005F58AF"/>
    <w:rsid w:val="006015E9"/>
    <w:rsid w:val="00606ACF"/>
    <w:rsid w:val="006073ED"/>
    <w:rsid w:val="00611B94"/>
    <w:rsid w:val="006133EF"/>
    <w:rsid w:val="006151D4"/>
    <w:rsid w:val="00616894"/>
    <w:rsid w:val="00620B3F"/>
    <w:rsid w:val="00620F7D"/>
    <w:rsid w:val="006227A1"/>
    <w:rsid w:val="006236CA"/>
    <w:rsid w:val="00623D76"/>
    <w:rsid w:val="0062458E"/>
    <w:rsid w:val="00627F8D"/>
    <w:rsid w:val="006504C5"/>
    <w:rsid w:val="006569C2"/>
    <w:rsid w:val="0066017A"/>
    <w:rsid w:val="00661326"/>
    <w:rsid w:val="00661826"/>
    <w:rsid w:val="00665047"/>
    <w:rsid w:val="006845BD"/>
    <w:rsid w:val="00693D69"/>
    <w:rsid w:val="006A196F"/>
    <w:rsid w:val="006A2299"/>
    <w:rsid w:val="006A2E2E"/>
    <w:rsid w:val="006B1C5D"/>
    <w:rsid w:val="006B4500"/>
    <w:rsid w:val="006B5B55"/>
    <w:rsid w:val="006C0C16"/>
    <w:rsid w:val="006C5342"/>
    <w:rsid w:val="006C7C78"/>
    <w:rsid w:val="006D5841"/>
    <w:rsid w:val="006F6D85"/>
    <w:rsid w:val="0070185B"/>
    <w:rsid w:val="007057AE"/>
    <w:rsid w:val="00707610"/>
    <w:rsid w:val="0072424B"/>
    <w:rsid w:val="00732BA1"/>
    <w:rsid w:val="00734F4A"/>
    <w:rsid w:val="00737AC4"/>
    <w:rsid w:val="00743ACE"/>
    <w:rsid w:val="00747B2E"/>
    <w:rsid w:val="00756E78"/>
    <w:rsid w:val="00777C43"/>
    <w:rsid w:val="007800D5"/>
    <w:rsid w:val="00796613"/>
    <w:rsid w:val="007B1D33"/>
    <w:rsid w:val="007C4823"/>
    <w:rsid w:val="007D0522"/>
    <w:rsid w:val="007D08E1"/>
    <w:rsid w:val="007D1A3D"/>
    <w:rsid w:val="007D2D81"/>
    <w:rsid w:val="007D6C7B"/>
    <w:rsid w:val="007E1535"/>
    <w:rsid w:val="007E40AC"/>
    <w:rsid w:val="007F03F9"/>
    <w:rsid w:val="007F477C"/>
    <w:rsid w:val="00804934"/>
    <w:rsid w:val="00816207"/>
    <w:rsid w:val="00834AEA"/>
    <w:rsid w:val="008459A9"/>
    <w:rsid w:val="00852CBA"/>
    <w:rsid w:val="00853F21"/>
    <w:rsid w:val="00856859"/>
    <w:rsid w:val="00862570"/>
    <w:rsid w:val="008756D1"/>
    <w:rsid w:val="00893F93"/>
    <w:rsid w:val="00897EC8"/>
    <w:rsid w:val="00897F2A"/>
    <w:rsid w:val="008A354C"/>
    <w:rsid w:val="008A3670"/>
    <w:rsid w:val="008B12F9"/>
    <w:rsid w:val="008B21F8"/>
    <w:rsid w:val="008B65CE"/>
    <w:rsid w:val="008C0BFB"/>
    <w:rsid w:val="008C5F5A"/>
    <w:rsid w:val="008D17FC"/>
    <w:rsid w:val="008D4177"/>
    <w:rsid w:val="008E32F0"/>
    <w:rsid w:val="008F2001"/>
    <w:rsid w:val="008F79F3"/>
    <w:rsid w:val="0090331F"/>
    <w:rsid w:val="00911C70"/>
    <w:rsid w:val="00916B19"/>
    <w:rsid w:val="00923F35"/>
    <w:rsid w:val="0092667F"/>
    <w:rsid w:val="00930129"/>
    <w:rsid w:val="009375EB"/>
    <w:rsid w:val="00943610"/>
    <w:rsid w:val="009517AD"/>
    <w:rsid w:val="00961E55"/>
    <w:rsid w:val="00984675"/>
    <w:rsid w:val="009856EE"/>
    <w:rsid w:val="00993CD6"/>
    <w:rsid w:val="009A18D8"/>
    <w:rsid w:val="009A43A0"/>
    <w:rsid w:val="009A605E"/>
    <w:rsid w:val="009B03BD"/>
    <w:rsid w:val="009B0AE8"/>
    <w:rsid w:val="009B1B95"/>
    <w:rsid w:val="009B52C4"/>
    <w:rsid w:val="009B5843"/>
    <w:rsid w:val="009C140A"/>
    <w:rsid w:val="009C5BCE"/>
    <w:rsid w:val="009D5256"/>
    <w:rsid w:val="009F464A"/>
    <w:rsid w:val="009F52B1"/>
    <w:rsid w:val="009F5AAE"/>
    <w:rsid w:val="00A141CB"/>
    <w:rsid w:val="00A258A1"/>
    <w:rsid w:val="00A4380F"/>
    <w:rsid w:val="00A71765"/>
    <w:rsid w:val="00A75416"/>
    <w:rsid w:val="00A76C66"/>
    <w:rsid w:val="00A80A19"/>
    <w:rsid w:val="00A87BEC"/>
    <w:rsid w:val="00A97410"/>
    <w:rsid w:val="00AA0C2E"/>
    <w:rsid w:val="00AB5F4E"/>
    <w:rsid w:val="00AB6EAB"/>
    <w:rsid w:val="00AD6294"/>
    <w:rsid w:val="00AF2028"/>
    <w:rsid w:val="00B0409C"/>
    <w:rsid w:val="00B05ADA"/>
    <w:rsid w:val="00B06952"/>
    <w:rsid w:val="00B07776"/>
    <w:rsid w:val="00B12992"/>
    <w:rsid w:val="00B17169"/>
    <w:rsid w:val="00B24E61"/>
    <w:rsid w:val="00B27C32"/>
    <w:rsid w:val="00B31007"/>
    <w:rsid w:val="00B31E83"/>
    <w:rsid w:val="00B34CD0"/>
    <w:rsid w:val="00B35836"/>
    <w:rsid w:val="00B458E5"/>
    <w:rsid w:val="00B46B3C"/>
    <w:rsid w:val="00B5753E"/>
    <w:rsid w:val="00B579C5"/>
    <w:rsid w:val="00B62FD8"/>
    <w:rsid w:val="00B63DDB"/>
    <w:rsid w:val="00B708C9"/>
    <w:rsid w:val="00B73409"/>
    <w:rsid w:val="00B811B2"/>
    <w:rsid w:val="00B90228"/>
    <w:rsid w:val="00B94EA4"/>
    <w:rsid w:val="00BA158B"/>
    <w:rsid w:val="00BA1F8D"/>
    <w:rsid w:val="00BA5991"/>
    <w:rsid w:val="00BA7C6A"/>
    <w:rsid w:val="00BC6B6F"/>
    <w:rsid w:val="00BD4CF2"/>
    <w:rsid w:val="00BD5A22"/>
    <w:rsid w:val="00BE2767"/>
    <w:rsid w:val="00BE4390"/>
    <w:rsid w:val="00BE49E7"/>
    <w:rsid w:val="00BE7800"/>
    <w:rsid w:val="00BF0D80"/>
    <w:rsid w:val="00BF6335"/>
    <w:rsid w:val="00C00BA2"/>
    <w:rsid w:val="00C12DA7"/>
    <w:rsid w:val="00C2052A"/>
    <w:rsid w:val="00C233C7"/>
    <w:rsid w:val="00C25C9A"/>
    <w:rsid w:val="00C30154"/>
    <w:rsid w:val="00C42032"/>
    <w:rsid w:val="00C430B5"/>
    <w:rsid w:val="00C4511E"/>
    <w:rsid w:val="00C46C14"/>
    <w:rsid w:val="00C47651"/>
    <w:rsid w:val="00C510C7"/>
    <w:rsid w:val="00C61498"/>
    <w:rsid w:val="00C63114"/>
    <w:rsid w:val="00C6315D"/>
    <w:rsid w:val="00C648E9"/>
    <w:rsid w:val="00C75EBC"/>
    <w:rsid w:val="00C81B24"/>
    <w:rsid w:val="00C82877"/>
    <w:rsid w:val="00C83058"/>
    <w:rsid w:val="00C87FA8"/>
    <w:rsid w:val="00C904A2"/>
    <w:rsid w:val="00C92AE4"/>
    <w:rsid w:val="00CC42DF"/>
    <w:rsid w:val="00CD3393"/>
    <w:rsid w:val="00CD63CA"/>
    <w:rsid w:val="00CD6E98"/>
    <w:rsid w:val="00CE4703"/>
    <w:rsid w:val="00D01E8F"/>
    <w:rsid w:val="00D11043"/>
    <w:rsid w:val="00D11D39"/>
    <w:rsid w:val="00D144A8"/>
    <w:rsid w:val="00D20150"/>
    <w:rsid w:val="00D32611"/>
    <w:rsid w:val="00D32E80"/>
    <w:rsid w:val="00D35FFE"/>
    <w:rsid w:val="00D36F66"/>
    <w:rsid w:val="00D42DC3"/>
    <w:rsid w:val="00D45D1A"/>
    <w:rsid w:val="00D46869"/>
    <w:rsid w:val="00D60563"/>
    <w:rsid w:val="00D705B4"/>
    <w:rsid w:val="00D74ABE"/>
    <w:rsid w:val="00D80D88"/>
    <w:rsid w:val="00D821FF"/>
    <w:rsid w:val="00D82FEB"/>
    <w:rsid w:val="00D84E2B"/>
    <w:rsid w:val="00D869C0"/>
    <w:rsid w:val="00D92365"/>
    <w:rsid w:val="00D952CB"/>
    <w:rsid w:val="00DB6331"/>
    <w:rsid w:val="00DC1588"/>
    <w:rsid w:val="00DC7A9E"/>
    <w:rsid w:val="00DD07AE"/>
    <w:rsid w:val="00DD4276"/>
    <w:rsid w:val="00DE04B7"/>
    <w:rsid w:val="00DE4688"/>
    <w:rsid w:val="00DF2AD5"/>
    <w:rsid w:val="00DF312C"/>
    <w:rsid w:val="00DF5F62"/>
    <w:rsid w:val="00E01DE0"/>
    <w:rsid w:val="00E0301B"/>
    <w:rsid w:val="00E044A4"/>
    <w:rsid w:val="00E05960"/>
    <w:rsid w:val="00E1317C"/>
    <w:rsid w:val="00E1449F"/>
    <w:rsid w:val="00E151D6"/>
    <w:rsid w:val="00E25524"/>
    <w:rsid w:val="00E54159"/>
    <w:rsid w:val="00E64532"/>
    <w:rsid w:val="00E728BD"/>
    <w:rsid w:val="00E76EDA"/>
    <w:rsid w:val="00E80180"/>
    <w:rsid w:val="00E832B2"/>
    <w:rsid w:val="00E86A2F"/>
    <w:rsid w:val="00E97E5F"/>
    <w:rsid w:val="00EA24BF"/>
    <w:rsid w:val="00EA582C"/>
    <w:rsid w:val="00EB5D9B"/>
    <w:rsid w:val="00EC0DC8"/>
    <w:rsid w:val="00EC5B13"/>
    <w:rsid w:val="00EC7D0B"/>
    <w:rsid w:val="00ED1034"/>
    <w:rsid w:val="00ED1AF2"/>
    <w:rsid w:val="00EE2120"/>
    <w:rsid w:val="00EF241D"/>
    <w:rsid w:val="00EF6889"/>
    <w:rsid w:val="00F00953"/>
    <w:rsid w:val="00F017D6"/>
    <w:rsid w:val="00F03CC7"/>
    <w:rsid w:val="00F233D2"/>
    <w:rsid w:val="00F43889"/>
    <w:rsid w:val="00F446CF"/>
    <w:rsid w:val="00F466E8"/>
    <w:rsid w:val="00F528E9"/>
    <w:rsid w:val="00F563DE"/>
    <w:rsid w:val="00F617AD"/>
    <w:rsid w:val="00F6389C"/>
    <w:rsid w:val="00F72301"/>
    <w:rsid w:val="00F83DA1"/>
    <w:rsid w:val="00FA3B6E"/>
    <w:rsid w:val="00FA4059"/>
    <w:rsid w:val="00FA5F8B"/>
    <w:rsid w:val="00FC7836"/>
    <w:rsid w:val="00FC7C43"/>
    <w:rsid w:val="00FD38B4"/>
    <w:rsid w:val="00FD4014"/>
    <w:rsid w:val="00FD4FA4"/>
    <w:rsid w:val="00FD57EC"/>
    <w:rsid w:val="00FD59F9"/>
    <w:rsid w:val="00FE6292"/>
    <w:rsid w:val="00FF1DA0"/>
    <w:rsid w:val="00FF670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3DE53"/>
  <w15:chartTrackingRefBased/>
  <w15:docId w15:val="{34D90B87-96EB-4B73-8A09-2BB38D4D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84"/>
    <w:pPr>
      <w:spacing w:after="240"/>
      <w:jc w:val="both"/>
    </w:pPr>
  </w:style>
  <w:style w:type="paragraph" w:styleId="Heading1">
    <w:name w:val="heading 1"/>
    <w:basedOn w:val="Normal"/>
    <w:next w:val="Normal"/>
    <w:semiHidden/>
    <w:qFormat/>
    <w:rsid w:val="0016289E"/>
    <w:pPr>
      <w:keepNext/>
      <w:numPr>
        <w:numId w:val="15"/>
      </w:numPr>
      <w:spacing w:before="120" w:after="120"/>
      <w:jc w:val="left"/>
      <w:outlineLvl w:val="0"/>
    </w:pPr>
    <w:rPr>
      <w:rFonts w:cs="Arial"/>
      <w:b/>
      <w:bCs/>
      <w:caps/>
      <w:u w:val="single"/>
    </w:rPr>
  </w:style>
  <w:style w:type="paragraph" w:styleId="Heading2">
    <w:name w:val="heading 2"/>
    <w:basedOn w:val="Normal"/>
    <w:next w:val="Normal"/>
    <w:semiHidden/>
    <w:qFormat/>
    <w:rsid w:val="0016289E"/>
    <w:pPr>
      <w:keepNext/>
      <w:numPr>
        <w:ilvl w:val="1"/>
        <w:numId w:val="15"/>
      </w:numPr>
      <w:spacing w:before="120" w:after="120"/>
      <w:jc w:val="left"/>
      <w:outlineLvl w:val="1"/>
    </w:pPr>
    <w:rPr>
      <w:rFonts w:cs="Arial"/>
      <w:b/>
      <w:bCs/>
      <w:iCs/>
      <w:szCs w:val="28"/>
      <w:u w:val="single"/>
    </w:rPr>
  </w:style>
  <w:style w:type="paragraph" w:styleId="Heading3">
    <w:name w:val="heading 3"/>
    <w:basedOn w:val="Normal"/>
    <w:next w:val="Normal"/>
    <w:semiHidden/>
    <w:qFormat/>
    <w:rsid w:val="0016289E"/>
    <w:pPr>
      <w:keepNext/>
      <w:numPr>
        <w:ilvl w:val="2"/>
        <w:numId w:val="15"/>
      </w:numPr>
      <w:spacing w:before="120" w:after="120"/>
      <w:jc w:val="left"/>
      <w:outlineLvl w:val="2"/>
    </w:pPr>
    <w:rPr>
      <w:rFonts w:cs="Arial"/>
      <w:b/>
      <w:bCs/>
      <w:szCs w:val="26"/>
    </w:rPr>
  </w:style>
  <w:style w:type="paragraph" w:styleId="Heading4">
    <w:name w:val="heading 4"/>
    <w:basedOn w:val="Normal"/>
    <w:next w:val="Normal"/>
    <w:link w:val="Heading4Char"/>
    <w:uiPriority w:val="9"/>
    <w:semiHidden/>
    <w:unhideWhenUsed/>
    <w:qFormat/>
    <w:rsid w:val="00B040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409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040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40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40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40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6569C2"/>
    <w:pPr>
      <w:tabs>
        <w:tab w:val="left" w:pos="360"/>
        <w:tab w:val="left" w:pos="720"/>
        <w:tab w:val="right" w:leader="dot" w:pos="9360"/>
      </w:tabs>
      <w:spacing w:after="120"/>
    </w:pPr>
  </w:style>
  <w:style w:type="paragraph" w:styleId="TOC2">
    <w:name w:val="toc 2"/>
    <w:basedOn w:val="Normal"/>
    <w:next w:val="Normal"/>
    <w:uiPriority w:val="39"/>
    <w:rsid w:val="006569C2"/>
    <w:pPr>
      <w:tabs>
        <w:tab w:val="left" w:pos="360"/>
        <w:tab w:val="right" w:leader="dot" w:pos="9360"/>
      </w:tabs>
      <w:spacing w:after="120"/>
      <w:ind w:left="360"/>
    </w:pPr>
  </w:style>
  <w:style w:type="paragraph" w:styleId="FootnoteText">
    <w:name w:val="footnote text"/>
    <w:basedOn w:val="Normal"/>
    <w:link w:val="FootnoteTextChar"/>
    <w:rsid w:val="00B708C9"/>
    <w:pPr>
      <w:tabs>
        <w:tab w:val="left" w:pos="720"/>
      </w:tabs>
      <w:spacing w:after="0"/>
      <w:ind w:left="720" w:hanging="720"/>
    </w:pPr>
    <w:rPr>
      <w:sz w:val="20"/>
      <w:szCs w:val="20"/>
    </w:rPr>
  </w:style>
  <w:style w:type="character" w:styleId="FootnoteReference">
    <w:name w:val="footnote reference"/>
    <w:rsid w:val="00FD4FA4"/>
    <w:rPr>
      <w:vertAlign w:val="superscript"/>
    </w:rPr>
  </w:style>
  <w:style w:type="paragraph" w:customStyle="1" w:styleId="Block05">
    <w:name w:val="Block 0.5&quot;"/>
    <w:basedOn w:val="Normal"/>
    <w:rsid w:val="00862570"/>
    <w:pPr>
      <w:ind w:left="720" w:right="720"/>
    </w:pPr>
    <w:rPr>
      <w:szCs w:val="20"/>
    </w:rPr>
  </w:style>
  <w:style w:type="paragraph" w:customStyle="1" w:styleId="Block1">
    <w:name w:val="Block 1&quot;"/>
    <w:basedOn w:val="Block05"/>
    <w:rsid w:val="00862570"/>
    <w:pPr>
      <w:ind w:left="1440" w:right="1440"/>
    </w:pPr>
  </w:style>
  <w:style w:type="paragraph" w:customStyle="1" w:styleId="Block15">
    <w:name w:val="Block 1.5&quot;"/>
    <w:basedOn w:val="Block05"/>
    <w:rsid w:val="00862570"/>
    <w:pPr>
      <w:ind w:left="2160" w:right="2160"/>
    </w:pPr>
  </w:style>
  <w:style w:type="paragraph" w:customStyle="1" w:styleId="Block2">
    <w:name w:val="Block 2&quot;"/>
    <w:basedOn w:val="Block05"/>
    <w:rsid w:val="00862570"/>
    <w:pPr>
      <w:ind w:left="2880" w:right="2880"/>
    </w:pPr>
  </w:style>
  <w:style w:type="character" w:customStyle="1" w:styleId="Bold">
    <w:name w:val="Bold"/>
    <w:rsid w:val="00862570"/>
    <w:rPr>
      <w:b/>
    </w:rPr>
  </w:style>
  <w:style w:type="character" w:customStyle="1" w:styleId="BoldItalic">
    <w:name w:val="BoldItalic"/>
    <w:rsid w:val="00862570"/>
    <w:rPr>
      <w:b/>
      <w:i/>
    </w:rPr>
  </w:style>
  <w:style w:type="paragraph" w:customStyle="1" w:styleId="Centre">
    <w:name w:val="Centre"/>
    <w:basedOn w:val="Normal"/>
    <w:rsid w:val="0062458E"/>
    <w:pPr>
      <w:jc w:val="center"/>
    </w:pPr>
    <w:rPr>
      <w:szCs w:val="20"/>
    </w:rPr>
  </w:style>
  <w:style w:type="paragraph" w:customStyle="1" w:styleId="Hanging">
    <w:name w:val="Hanging"/>
    <w:basedOn w:val="Normal"/>
    <w:rsid w:val="00862570"/>
    <w:pPr>
      <w:ind w:left="720" w:hanging="720"/>
    </w:pPr>
    <w:rPr>
      <w:szCs w:val="20"/>
    </w:rPr>
  </w:style>
  <w:style w:type="paragraph" w:customStyle="1" w:styleId="Heading10">
    <w:name w:val="Heading1"/>
    <w:basedOn w:val="NormalSingle"/>
    <w:next w:val="Normal"/>
    <w:rsid w:val="003B52B9"/>
    <w:pPr>
      <w:keepNext/>
      <w:spacing w:before="120" w:after="120"/>
      <w:jc w:val="left"/>
      <w:outlineLvl w:val="0"/>
    </w:pPr>
    <w:rPr>
      <w:b/>
      <w:sz w:val="28"/>
    </w:rPr>
  </w:style>
  <w:style w:type="paragraph" w:customStyle="1" w:styleId="NormalSingle">
    <w:name w:val="Normal Single"/>
    <w:rsid w:val="00862570"/>
    <w:pPr>
      <w:spacing w:after="240"/>
      <w:jc w:val="both"/>
    </w:pPr>
    <w:rPr>
      <w:lang w:eastAsia="en-US"/>
    </w:rPr>
  </w:style>
  <w:style w:type="paragraph" w:customStyle="1" w:styleId="Heading1Centre">
    <w:name w:val="Heading1Centre"/>
    <w:basedOn w:val="Heading10"/>
    <w:next w:val="Normal"/>
    <w:rsid w:val="00862570"/>
    <w:pPr>
      <w:spacing w:after="480"/>
      <w:jc w:val="center"/>
      <w:outlineLvl w:val="9"/>
    </w:pPr>
    <w:rPr>
      <w:szCs w:val="28"/>
    </w:rPr>
  </w:style>
  <w:style w:type="paragraph" w:customStyle="1" w:styleId="Heading20">
    <w:name w:val="Heading2"/>
    <w:basedOn w:val="NormalSingle"/>
    <w:next w:val="Normal"/>
    <w:rsid w:val="00342DD2"/>
    <w:pPr>
      <w:keepNext/>
      <w:spacing w:before="120" w:after="120"/>
      <w:jc w:val="left"/>
      <w:outlineLvl w:val="1"/>
    </w:pPr>
    <w:rPr>
      <w:b/>
      <w:i/>
    </w:rPr>
  </w:style>
  <w:style w:type="paragraph" w:customStyle="1" w:styleId="Heading2NoToc">
    <w:name w:val="Heading2NoToc"/>
    <w:basedOn w:val="Heading20"/>
    <w:next w:val="Normal"/>
    <w:rsid w:val="00342DD2"/>
    <w:pPr>
      <w:outlineLvl w:val="9"/>
    </w:pPr>
  </w:style>
  <w:style w:type="paragraph" w:customStyle="1" w:styleId="Heading30">
    <w:name w:val="Heading3"/>
    <w:basedOn w:val="NormalSingle"/>
    <w:next w:val="Normal"/>
    <w:rsid w:val="00342DD2"/>
    <w:pPr>
      <w:keepNext/>
      <w:spacing w:before="60" w:after="60"/>
      <w:jc w:val="left"/>
      <w:outlineLvl w:val="2"/>
    </w:pPr>
    <w:rPr>
      <w:b/>
    </w:rPr>
  </w:style>
  <w:style w:type="paragraph" w:customStyle="1" w:styleId="Indent05">
    <w:name w:val="Indent 0.5&quot;"/>
    <w:basedOn w:val="Normal"/>
    <w:rsid w:val="00862570"/>
    <w:pPr>
      <w:ind w:left="720"/>
    </w:pPr>
    <w:rPr>
      <w:szCs w:val="20"/>
    </w:rPr>
  </w:style>
  <w:style w:type="paragraph" w:customStyle="1" w:styleId="Indent1">
    <w:name w:val="Indent 1&quot;"/>
    <w:basedOn w:val="Indent05"/>
    <w:rsid w:val="00862570"/>
    <w:pPr>
      <w:ind w:left="1440"/>
    </w:pPr>
  </w:style>
  <w:style w:type="paragraph" w:customStyle="1" w:styleId="Indent15">
    <w:name w:val="Indent 1.5&quot;"/>
    <w:basedOn w:val="Indent05"/>
    <w:rsid w:val="00862570"/>
    <w:pPr>
      <w:ind w:left="2160"/>
    </w:pPr>
  </w:style>
  <w:style w:type="paragraph" w:customStyle="1" w:styleId="Indent2">
    <w:name w:val="Indent 2&quot;"/>
    <w:basedOn w:val="Indent05"/>
    <w:rsid w:val="00862570"/>
    <w:pPr>
      <w:ind w:left="2880"/>
    </w:pPr>
  </w:style>
  <w:style w:type="character" w:customStyle="1" w:styleId="Italic">
    <w:name w:val="Italic"/>
    <w:rsid w:val="00862570"/>
    <w:rPr>
      <w:i/>
    </w:rPr>
  </w:style>
  <w:style w:type="paragraph" w:customStyle="1" w:styleId="Left-Aligned">
    <w:name w:val="Left-Aligned"/>
    <w:basedOn w:val="Normal"/>
    <w:rsid w:val="00862570"/>
    <w:pPr>
      <w:jc w:val="left"/>
    </w:pPr>
    <w:rPr>
      <w:szCs w:val="20"/>
    </w:rPr>
  </w:style>
  <w:style w:type="paragraph" w:customStyle="1" w:styleId="PlainSingle">
    <w:name w:val="Plain Single"/>
    <w:basedOn w:val="NormalSingle"/>
    <w:rsid w:val="00862570"/>
    <w:pPr>
      <w:spacing w:after="0"/>
      <w:jc w:val="left"/>
    </w:pPr>
  </w:style>
  <w:style w:type="paragraph" w:customStyle="1" w:styleId="Plain">
    <w:name w:val="Plain"/>
    <w:basedOn w:val="Normal"/>
    <w:rsid w:val="00862570"/>
    <w:pPr>
      <w:spacing w:after="0"/>
      <w:jc w:val="left"/>
    </w:pPr>
    <w:rPr>
      <w:szCs w:val="20"/>
    </w:rPr>
  </w:style>
  <w:style w:type="character" w:customStyle="1" w:styleId="Prompt">
    <w:name w:val="Prompt"/>
    <w:rsid w:val="00862570"/>
    <w:rPr>
      <w:color w:val="0000FF"/>
    </w:rPr>
  </w:style>
  <w:style w:type="character" w:customStyle="1" w:styleId="Reference">
    <w:name w:val="Reference"/>
    <w:rsid w:val="00862570"/>
    <w:rPr>
      <w:b/>
      <w:sz w:val="16"/>
      <w:szCs w:val="16"/>
    </w:rPr>
  </w:style>
  <w:style w:type="paragraph" w:customStyle="1" w:styleId="Right-Aligned">
    <w:name w:val="Right-Aligned"/>
    <w:basedOn w:val="Normal"/>
    <w:rsid w:val="00862570"/>
    <w:pPr>
      <w:jc w:val="right"/>
    </w:pPr>
    <w:rPr>
      <w:szCs w:val="20"/>
    </w:rPr>
  </w:style>
  <w:style w:type="paragraph" w:customStyle="1" w:styleId="FirstLineIndent05">
    <w:name w:val="First Line Indent 0.5&quot;"/>
    <w:basedOn w:val="Normal"/>
    <w:rsid w:val="00862570"/>
    <w:pPr>
      <w:ind w:firstLine="720"/>
    </w:pPr>
    <w:rPr>
      <w:szCs w:val="20"/>
    </w:rPr>
  </w:style>
  <w:style w:type="paragraph" w:customStyle="1" w:styleId="FirstLineIndent1">
    <w:name w:val="First Line Indent 1&quot;"/>
    <w:basedOn w:val="FirstLineIndent05"/>
    <w:rsid w:val="00862570"/>
    <w:pPr>
      <w:ind w:firstLine="1440"/>
    </w:pPr>
  </w:style>
  <w:style w:type="paragraph" w:customStyle="1" w:styleId="TableHeading">
    <w:name w:val="TableHeading"/>
    <w:basedOn w:val="NormalSingle"/>
    <w:rsid w:val="00342DD2"/>
    <w:pPr>
      <w:keepNext/>
      <w:keepLines/>
      <w:spacing w:before="60" w:after="60"/>
      <w:jc w:val="center"/>
    </w:pPr>
    <w:rPr>
      <w:b/>
    </w:rPr>
  </w:style>
  <w:style w:type="paragraph" w:customStyle="1" w:styleId="TableText">
    <w:name w:val="TableText"/>
    <w:basedOn w:val="Normal"/>
    <w:rsid w:val="00862570"/>
    <w:pPr>
      <w:spacing w:before="60" w:after="60"/>
      <w:jc w:val="left"/>
    </w:pPr>
  </w:style>
  <w:style w:type="character" w:customStyle="1" w:styleId="Underline">
    <w:name w:val="Underline"/>
    <w:rsid w:val="00862570"/>
    <w:rPr>
      <w:u w:val="single"/>
    </w:rPr>
  </w:style>
  <w:style w:type="paragraph" w:customStyle="1" w:styleId="CentreBold">
    <w:name w:val="Centre Bold"/>
    <w:basedOn w:val="Centre"/>
    <w:qFormat/>
    <w:rsid w:val="0062458E"/>
    <w:rPr>
      <w:b/>
    </w:rPr>
  </w:style>
  <w:style w:type="paragraph" w:customStyle="1" w:styleId="Citation">
    <w:name w:val="Citation"/>
    <w:basedOn w:val="NormalSingle"/>
    <w:qFormat/>
    <w:rsid w:val="00B458E5"/>
    <w:pPr>
      <w:spacing w:after="120"/>
      <w:ind w:left="720" w:right="720"/>
    </w:pPr>
    <w:rPr>
      <w:i/>
    </w:rPr>
  </w:style>
  <w:style w:type="paragraph" w:customStyle="1" w:styleId="Heading3NoToc">
    <w:name w:val="Heading3NoToc"/>
    <w:basedOn w:val="Heading30"/>
    <w:qFormat/>
    <w:rsid w:val="00B458E5"/>
    <w:pPr>
      <w:outlineLvl w:val="9"/>
    </w:pPr>
  </w:style>
  <w:style w:type="paragraph" w:customStyle="1" w:styleId="Quotes">
    <w:name w:val="Quotes"/>
    <w:basedOn w:val="NormalSingle"/>
    <w:qFormat/>
    <w:rsid w:val="00B458E5"/>
    <w:pPr>
      <w:ind w:left="720" w:right="720"/>
      <w:jc w:val="left"/>
    </w:pPr>
    <w:rPr>
      <w:i/>
    </w:rPr>
  </w:style>
  <w:style w:type="paragraph" w:customStyle="1" w:styleId="TableTextCenter">
    <w:name w:val="TableTextCenter"/>
    <w:basedOn w:val="TableText"/>
    <w:rsid w:val="0016289E"/>
    <w:pPr>
      <w:jc w:val="center"/>
    </w:pPr>
  </w:style>
  <w:style w:type="paragraph" w:customStyle="1" w:styleId="TableTextRight">
    <w:name w:val="TableTextRight"/>
    <w:basedOn w:val="TableText"/>
    <w:rsid w:val="0016289E"/>
    <w:pPr>
      <w:jc w:val="right"/>
    </w:pPr>
  </w:style>
  <w:style w:type="paragraph" w:customStyle="1" w:styleId="TableHeadingLeft">
    <w:name w:val="TableHeadingLeft"/>
    <w:basedOn w:val="TableHeading"/>
    <w:rsid w:val="0016289E"/>
    <w:pPr>
      <w:jc w:val="left"/>
    </w:pPr>
  </w:style>
  <w:style w:type="paragraph" w:customStyle="1" w:styleId="TableHeadingRight">
    <w:name w:val="TableHeadingRight"/>
    <w:basedOn w:val="TableHeading"/>
    <w:rsid w:val="0016289E"/>
    <w:pPr>
      <w:jc w:val="right"/>
    </w:pPr>
  </w:style>
  <w:style w:type="paragraph" w:customStyle="1" w:styleId="Heading1NoToc">
    <w:name w:val="Heading1NoToc"/>
    <w:basedOn w:val="Heading10"/>
    <w:qFormat/>
    <w:rsid w:val="003B52B9"/>
    <w:pPr>
      <w:outlineLvl w:val="9"/>
    </w:pPr>
  </w:style>
  <w:style w:type="paragraph" w:styleId="Header">
    <w:name w:val="header"/>
    <w:basedOn w:val="Normal"/>
    <w:link w:val="HeaderChar"/>
    <w:uiPriority w:val="99"/>
    <w:unhideWhenUsed/>
    <w:rsid w:val="006569C2"/>
    <w:pPr>
      <w:tabs>
        <w:tab w:val="center" w:pos="4680"/>
        <w:tab w:val="right" w:pos="9360"/>
      </w:tabs>
      <w:spacing w:after="0"/>
    </w:pPr>
  </w:style>
  <w:style w:type="paragraph" w:styleId="TOC3">
    <w:name w:val="toc 3"/>
    <w:basedOn w:val="Normal"/>
    <w:next w:val="Normal"/>
    <w:autoRedefine/>
    <w:uiPriority w:val="39"/>
    <w:unhideWhenUsed/>
    <w:rsid w:val="006569C2"/>
    <w:pPr>
      <w:tabs>
        <w:tab w:val="left" w:pos="720"/>
      </w:tabs>
      <w:spacing w:after="120"/>
      <w:ind w:left="720"/>
    </w:pPr>
  </w:style>
  <w:style w:type="character" w:customStyle="1" w:styleId="HeaderChar">
    <w:name w:val="Header Char"/>
    <w:basedOn w:val="DefaultParagraphFont"/>
    <w:link w:val="Header"/>
    <w:uiPriority w:val="99"/>
    <w:rsid w:val="006569C2"/>
    <w:rPr>
      <w:sz w:val="24"/>
      <w:szCs w:val="24"/>
      <w:lang w:eastAsia="en-US"/>
    </w:rPr>
  </w:style>
  <w:style w:type="paragraph" w:styleId="Footer">
    <w:name w:val="footer"/>
    <w:basedOn w:val="Normal"/>
    <w:link w:val="FooterChar"/>
    <w:uiPriority w:val="99"/>
    <w:unhideWhenUsed/>
    <w:rsid w:val="006569C2"/>
    <w:pPr>
      <w:tabs>
        <w:tab w:val="center" w:pos="4680"/>
        <w:tab w:val="right" w:pos="9360"/>
      </w:tabs>
      <w:spacing w:after="0"/>
    </w:pPr>
  </w:style>
  <w:style w:type="character" w:customStyle="1" w:styleId="FooterChar">
    <w:name w:val="Footer Char"/>
    <w:basedOn w:val="DefaultParagraphFont"/>
    <w:link w:val="Footer"/>
    <w:uiPriority w:val="99"/>
    <w:rsid w:val="006569C2"/>
    <w:rPr>
      <w:sz w:val="24"/>
      <w:szCs w:val="24"/>
      <w:lang w:eastAsia="en-US"/>
    </w:rPr>
  </w:style>
  <w:style w:type="character" w:styleId="Hyperlink">
    <w:name w:val="Hyperlink"/>
    <w:basedOn w:val="DefaultParagraphFont"/>
    <w:uiPriority w:val="99"/>
    <w:unhideWhenUsed/>
    <w:rsid w:val="006569C2"/>
    <w:rPr>
      <w:color w:val="0563C1" w:themeColor="hyperlink"/>
      <w:u w:val="single"/>
    </w:rPr>
  </w:style>
  <w:style w:type="paragraph" w:styleId="TOC4">
    <w:name w:val="toc 4"/>
    <w:basedOn w:val="Normal"/>
    <w:next w:val="Normal"/>
    <w:autoRedefine/>
    <w:uiPriority w:val="39"/>
    <w:semiHidden/>
    <w:unhideWhenUsed/>
    <w:rsid w:val="006569C2"/>
    <w:pPr>
      <w:spacing w:after="100"/>
      <w:ind w:left="720"/>
    </w:pPr>
  </w:style>
  <w:style w:type="paragraph" w:styleId="TOC5">
    <w:name w:val="toc 5"/>
    <w:basedOn w:val="Normal"/>
    <w:next w:val="Normal"/>
    <w:autoRedefine/>
    <w:uiPriority w:val="39"/>
    <w:semiHidden/>
    <w:unhideWhenUsed/>
    <w:rsid w:val="006569C2"/>
    <w:pPr>
      <w:spacing w:after="100"/>
      <w:ind w:left="960"/>
    </w:pPr>
  </w:style>
  <w:style w:type="paragraph" w:styleId="TOC6">
    <w:name w:val="toc 6"/>
    <w:basedOn w:val="Normal"/>
    <w:next w:val="Normal"/>
    <w:autoRedefine/>
    <w:uiPriority w:val="39"/>
    <w:semiHidden/>
    <w:unhideWhenUsed/>
    <w:rsid w:val="006569C2"/>
    <w:pPr>
      <w:spacing w:after="100"/>
      <w:ind w:left="1200"/>
    </w:pPr>
  </w:style>
  <w:style w:type="paragraph" w:styleId="TOC7">
    <w:name w:val="toc 7"/>
    <w:basedOn w:val="Normal"/>
    <w:next w:val="Normal"/>
    <w:autoRedefine/>
    <w:uiPriority w:val="39"/>
    <w:semiHidden/>
    <w:unhideWhenUsed/>
    <w:rsid w:val="006569C2"/>
    <w:pPr>
      <w:spacing w:after="100"/>
      <w:ind w:left="1440"/>
    </w:pPr>
  </w:style>
  <w:style w:type="paragraph" w:styleId="TOC8">
    <w:name w:val="toc 8"/>
    <w:basedOn w:val="Normal"/>
    <w:next w:val="Normal"/>
    <w:autoRedefine/>
    <w:uiPriority w:val="39"/>
    <w:semiHidden/>
    <w:unhideWhenUsed/>
    <w:rsid w:val="006569C2"/>
    <w:pPr>
      <w:spacing w:after="100"/>
      <w:ind w:left="1680"/>
    </w:pPr>
  </w:style>
  <w:style w:type="paragraph" w:styleId="TOC9">
    <w:name w:val="toc 9"/>
    <w:basedOn w:val="Normal"/>
    <w:next w:val="Normal"/>
    <w:autoRedefine/>
    <w:uiPriority w:val="39"/>
    <w:semiHidden/>
    <w:unhideWhenUsed/>
    <w:rsid w:val="006569C2"/>
    <w:pPr>
      <w:spacing w:after="100"/>
      <w:ind w:left="1920"/>
    </w:pPr>
  </w:style>
  <w:style w:type="character" w:customStyle="1" w:styleId="Heading4Char">
    <w:name w:val="Heading 4 Char"/>
    <w:basedOn w:val="DefaultParagraphFont"/>
    <w:link w:val="Heading4"/>
    <w:uiPriority w:val="9"/>
    <w:semiHidden/>
    <w:rsid w:val="00B0409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409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40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40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40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40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4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0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0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4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409C"/>
    <w:rPr>
      <w:i/>
      <w:iCs/>
      <w:color w:val="404040" w:themeColor="text1" w:themeTint="BF"/>
    </w:rPr>
  </w:style>
  <w:style w:type="paragraph" w:styleId="ListParagraph">
    <w:name w:val="List Paragraph"/>
    <w:basedOn w:val="Normal"/>
    <w:uiPriority w:val="34"/>
    <w:qFormat/>
    <w:rsid w:val="00B0409C"/>
    <w:pPr>
      <w:ind w:left="720"/>
      <w:contextualSpacing/>
    </w:pPr>
  </w:style>
  <w:style w:type="character" w:styleId="IntenseEmphasis">
    <w:name w:val="Intense Emphasis"/>
    <w:basedOn w:val="DefaultParagraphFont"/>
    <w:uiPriority w:val="21"/>
    <w:qFormat/>
    <w:rsid w:val="00B0409C"/>
    <w:rPr>
      <w:i/>
      <w:iCs/>
      <w:color w:val="2F5496" w:themeColor="accent1" w:themeShade="BF"/>
    </w:rPr>
  </w:style>
  <w:style w:type="paragraph" w:styleId="IntenseQuote">
    <w:name w:val="Intense Quote"/>
    <w:basedOn w:val="Normal"/>
    <w:next w:val="Normal"/>
    <w:link w:val="IntenseQuoteChar"/>
    <w:uiPriority w:val="30"/>
    <w:qFormat/>
    <w:rsid w:val="00B04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09C"/>
    <w:rPr>
      <w:i/>
      <w:iCs/>
      <w:color w:val="2F5496" w:themeColor="accent1" w:themeShade="BF"/>
    </w:rPr>
  </w:style>
  <w:style w:type="character" w:styleId="IntenseReference">
    <w:name w:val="Intense Reference"/>
    <w:basedOn w:val="DefaultParagraphFont"/>
    <w:uiPriority w:val="32"/>
    <w:qFormat/>
    <w:rsid w:val="00B0409C"/>
    <w:rPr>
      <w:b/>
      <w:bCs/>
      <w:smallCaps/>
      <w:color w:val="2F5496" w:themeColor="accent1" w:themeShade="BF"/>
      <w:spacing w:val="5"/>
    </w:rPr>
  </w:style>
  <w:style w:type="character" w:styleId="UnresolvedMention">
    <w:name w:val="Unresolved Mention"/>
    <w:basedOn w:val="DefaultParagraphFont"/>
    <w:uiPriority w:val="99"/>
    <w:semiHidden/>
    <w:unhideWhenUsed/>
    <w:rsid w:val="00387523"/>
    <w:rPr>
      <w:color w:val="605E5C"/>
      <w:shd w:val="clear" w:color="auto" w:fill="E1DFDD"/>
    </w:rPr>
  </w:style>
  <w:style w:type="character" w:styleId="FollowedHyperlink">
    <w:name w:val="FollowedHyperlink"/>
    <w:basedOn w:val="DefaultParagraphFont"/>
    <w:uiPriority w:val="99"/>
    <w:semiHidden/>
    <w:unhideWhenUsed/>
    <w:rsid w:val="00BE49E7"/>
    <w:rPr>
      <w:color w:val="954F72" w:themeColor="followedHyperlink"/>
      <w:u w:val="single"/>
    </w:rPr>
  </w:style>
  <w:style w:type="character" w:styleId="PlaceholderText">
    <w:name w:val="Placeholder Text"/>
    <w:basedOn w:val="DefaultParagraphFont"/>
    <w:uiPriority w:val="99"/>
    <w:semiHidden/>
    <w:rsid w:val="00BE49E7"/>
    <w:rPr>
      <w:color w:val="666666"/>
    </w:rPr>
  </w:style>
  <w:style w:type="character" w:styleId="Emphasis">
    <w:name w:val="Emphasis"/>
    <w:basedOn w:val="DefaultParagraphFont"/>
    <w:uiPriority w:val="20"/>
    <w:qFormat/>
    <w:rsid w:val="00BE49E7"/>
    <w:rPr>
      <w:i/>
      <w:iCs/>
    </w:rPr>
  </w:style>
  <w:style w:type="paragraph" w:styleId="Revision">
    <w:name w:val="Revision"/>
    <w:hidden/>
    <w:uiPriority w:val="99"/>
    <w:semiHidden/>
    <w:rsid w:val="00EF241D"/>
  </w:style>
  <w:style w:type="character" w:styleId="CommentReference">
    <w:name w:val="annotation reference"/>
    <w:basedOn w:val="DefaultParagraphFont"/>
    <w:uiPriority w:val="99"/>
    <w:semiHidden/>
    <w:unhideWhenUsed/>
    <w:rsid w:val="00C4511E"/>
    <w:rPr>
      <w:sz w:val="16"/>
      <w:szCs w:val="16"/>
    </w:rPr>
  </w:style>
  <w:style w:type="paragraph" w:styleId="CommentText">
    <w:name w:val="annotation text"/>
    <w:basedOn w:val="Normal"/>
    <w:link w:val="CommentTextChar"/>
    <w:uiPriority w:val="99"/>
    <w:unhideWhenUsed/>
    <w:rsid w:val="00C4511E"/>
    <w:rPr>
      <w:sz w:val="20"/>
      <w:szCs w:val="20"/>
    </w:rPr>
  </w:style>
  <w:style w:type="character" w:customStyle="1" w:styleId="CommentTextChar">
    <w:name w:val="Comment Text Char"/>
    <w:basedOn w:val="DefaultParagraphFont"/>
    <w:link w:val="CommentText"/>
    <w:uiPriority w:val="99"/>
    <w:rsid w:val="00C4511E"/>
    <w:rPr>
      <w:sz w:val="20"/>
      <w:szCs w:val="20"/>
    </w:rPr>
  </w:style>
  <w:style w:type="paragraph" w:styleId="CommentSubject">
    <w:name w:val="annotation subject"/>
    <w:basedOn w:val="CommentText"/>
    <w:next w:val="CommentText"/>
    <w:link w:val="CommentSubjectChar"/>
    <w:uiPriority w:val="99"/>
    <w:semiHidden/>
    <w:unhideWhenUsed/>
    <w:rsid w:val="00C4511E"/>
    <w:rPr>
      <w:b/>
      <w:bCs/>
    </w:rPr>
  </w:style>
  <w:style w:type="character" w:customStyle="1" w:styleId="CommentSubjectChar">
    <w:name w:val="Comment Subject Char"/>
    <w:basedOn w:val="CommentTextChar"/>
    <w:link w:val="CommentSubject"/>
    <w:uiPriority w:val="99"/>
    <w:semiHidden/>
    <w:rsid w:val="00C4511E"/>
    <w:rPr>
      <w:b/>
      <w:bCs/>
      <w:sz w:val="20"/>
      <w:szCs w:val="20"/>
    </w:rPr>
  </w:style>
  <w:style w:type="paragraph" w:customStyle="1" w:styleId="Default">
    <w:name w:val="Default"/>
    <w:rsid w:val="006B1C5D"/>
    <w:pPr>
      <w:autoSpaceDE w:val="0"/>
      <w:autoSpaceDN w:val="0"/>
      <w:adjustRightInd w:val="0"/>
    </w:pPr>
    <w:rPr>
      <w:rFonts w:eastAsia="Calibri"/>
      <w:color w:val="000000"/>
      <w:lang w:eastAsia="en-CA"/>
    </w:rPr>
  </w:style>
  <w:style w:type="character" w:customStyle="1" w:styleId="FootnoteTextChar">
    <w:name w:val="Footnote Text Char"/>
    <w:link w:val="FootnoteText"/>
    <w:rsid w:val="006B1C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94">
      <w:bodyDiv w:val="1"/>
      <w:marLeft w:val="0"/>
      <w:marRight w:val="0"/>
      <w:marTop w:val="0"/>
      <w:marBottom w:val="0"/>
      <w:divBdr>
        <w:top w:val="none" w:sz="0" w:space="0" w:color="auto"/>
        <w:left w:val="none" w:sz="0" w:space="0" w:color="auto"/>
        <w:bottom w:val="none" w:sz="0" w:space="0" w:color="auto"/>
        <w:right w:val="none" w:sz="0" w:space="0" w:color="auto"/>
      </w:divBdr>
    </w:div>
    <w:div w:id="2973118">
      <w:bodyDiv w:val="1"/>
      <w:marLeft w:val="0"/>
      <w:marRight w:val="0"/>
      <w:marTop w:val="0"/>
      <w:marBottom w:val="0"/>
      <w:divBdr>
        <w:top w:val="none" w:sz="0" w:space="0" w:color="auto"/>
        <w:left w:val="none" w:sz="0" w:space="0" w:color="auto"/>
        <w:bottom w:val="none" w:sz="0" w:space="0" w:color="auto"/>
        <w:right w:val="none" w:sz="0" w:space="0" w:color="auto"/>
      </w:divBdr>
    </w:div>
    <w:div w:id="34504556">
      <w:bodyDiv w:val="1"/>
      <w:marLeft w:val="0"/>
      <w:marRight w:val="0"/>
      <w:marTop w:val="0"/>
      <w:marBottom w:val="0"/>
      <w:divBdr>
        <w:top w:val="none" w:sz="0" w:space="0" w:color="auto"/>
        <w:left w:val="none" w:sz="0" w:space="0" w:color="auto"/>
        <w:bottom w:val="none" w:sz="0" w:space="0" w:color="auto"/>
        <w:right w:val="none" w:sz="0" w:space="0" w:color="auto"/>
      </w:divBdr>
    </w:div>
    <w:div w:id="41176691">
      <w:bodyDiv w:val="1"/>
      <w:marLeft w:val="0"/>
      <w:marRight w:val="0"/>
      <w:marTop w:val="0"/>
      <w:marBottom w:val="0"/>
      <w:divBdr>
        <w:top w:val="none" w:sz="0" w:space="0" w:color="auto"/>
        <w:left w:val="none" w:sz="0" w:space="0" w:color="auto"/>
        <w:bottom w:val="none" w:sz="0" w:space="0" w:color="auto"/>
        <w:right w:val="none" w:sz="0" w:space="0" w:color="auto"/>
      </w:divBdr>
    </w:div>
    <w:div w:id="72549153">
      <w:bodyDiv w:val="1"/>
      <w:marLeft w:val="0"/>
      <w:marRight w:val="0"/>
      <w:marTop w:val="0"/>
      <w:marBottom w:val="0"/>
      <w:divBdr>
        <w:top w:val="none" w:sz="0" w:space="0" w:color="auto"/>
        <w:left w:val="none" w:sz="0" w:space="0" w:color="auto"/>
        <w:bottom w:val="none" w:sz="0" w:space="0" w:color="auto"/>
        <w:right w:val="none" w:sz="0" w:space="0" w:color="auto"/>
      </w:divBdr>
    </w:div>
    <w:div w:id="86468606">
      <w:bodyDiv w:val="1"/>
      <w:marLeft w:val="0"/>
      <w:marRight w:val="0"/>
      <w:marTop w:val="0"/>
      <w:marBottom w:val="0"/>
      <w:divBdr>
        <w:top w:val="none" w:sz="0" w:space="0" w:color="auto"/>
        <w:left w:val="none" w:sz="0" w:space="0" w:color="auto"/>
        <w:bottom w:val="none" w:sz="0" w:space="0" w:color="auto"/>
        <w:right w:val="none" w:sz="0" w:space="0" w:color="auto"/>
      </w:divBdr>
    </w:div>
    <w:div w:id="92358381">
      <w:bodyDiv w:val="1"/>
      <w:marLeft w:val="0"/>
      <w:marRight w:val="0"/>
      <w:marTop w:val="0"/>
      <w:marBottom w:val="0"/>
      <w:divBdr>
        <w:top w:val="none" w:sz="0" w:space="0" w:color="auto"/>
        <w:left w:val="none" w:sz="0" w:space="0" w:color="auto"/>
        <w:bottom w:val="none" w:sz="0" w:space="0" w:color="auto"/>
        <w:right w:val="none" w:sz="0" w:space="0" w:color="auto"/>
      </w:divBdr>
    </w:div>
    <w:div w:id="106050864">
      <w:bodyDiv w:val="1"/>
      <w:marLeft w:val="0"/>
      <w:marRight w:val="0"/>
      <w:marTop w:val="0"/>
      <w:marBottom w:val="0"/>
      <w:divBdr>
        <w:top w:val="none" w:sz="0" w:space="0" w:color="auto"/>
        <w:left w:val="none" w:sz="0" w:space="0" w:color="auto"/>
        <w:bottom w:val="none" w:sz="0" w:space="0" w:color="auto"/>
        <w:right w:val="none" w:sz="0" w:space="0" w:color="auto"/>
      </w:divBdr>
    </w:div>
    <w:div w:id="148864819">
      <w:bodyDiv w:val="1"/>
      <w:marLeft w:val="0"/>
      <w:marRight w:val="0"/>
      <w:marTop w:val="0"/>
      <w:marBottom w:val="0"/>
      <w:divBdr>
        <w:top w:val="none" w:sz="0" w:space="0" w:color="auto"/>
        <w:left w:val="none" w:sz="0" w:space="0" w:color="auto"/>
        <w:bottom w:val="none" w:sz="0" w:space="0" w:color="auto"/>
        <w:right w:val="none" w:sz="0" w:space="0" w:color="auto"/>
      </w:divBdr>
    </w:div>
    <w:div w:id="195046886">
      <w:bodyDiv w:val="1"/>
      <w:marLeft w:val="0"/>
      <w:marRight w:val="0"/>
      <w:marTop w:val="0"/>
      <w:marBottom w:val="0"/>
      <w:divBdr>
        <w:top w:val="none" w:sz="0" w:space="0" w:color="auto"/>
        <w:left w:val="none" w:sz="0" w:space="0" w:color="auto"/>
        <w:bottom w:val="none" w:sz="0" w:space="0" w:color="auto"/>
        <w:right w:val="none" w:sz="0" w:space="0" w:color="auto"/>
      </w:divBdr>
    </w:div>
    <w:div w:id="243883569">
      <w:bodyDiv w:val="1"/>
      <w:marLeft w:val="0"/>
      <w:marRight w:val="0"/>
      <w:marTop w:val="0"/>
      <w:marBottom w:val="0"/>
      <w:divBdr>
        <w:top w:val="none" w:sz="0" w:space="0" w:color="auto"/>
        <w:left w:val="none" w:sz="0" w:space="0" w:color="auto"/>
        <w:bottom w:val="none" w:sz="0" w:space="0" w:color="auto"/>
        <w:right w:val="none" w:sz="0" w:space="0" w:color="auto"/>
      </w:divBdr>
    </w:div>
    <w:div w:id="253711595">
      <w:bodyDiv w:val="1"/>
      <w:marLeft w:val="0"/>
      <w:marRight w:val="0"/>
      <w:marTop w:val="0"/>
      <w:marBottom w:val="0"/>
      <w:divBdr>
        <w:top w:val="none" w:sz="0" w:space="0" w:color="auto"/>
        <w:left w:val="none" w:sz="0" w:space="0" w:color="auto"/>
        <w:bottom w:val="none" w:sz="0" w:space="0" w:color="auto"/>
        <w:right w:val="none" w:sz="0" w:space="0" w:color="auto"/>
      </w:divBdr>
    </w:div>
    <w:div w:id="300695434">
      <w:bodyDiv w:val="1"/>
      <w:marLeft w:val="0"/>
      <w:marRight w:val="0"/>
      <w:marTop w:val="0"/>
      <w:marBottom w:val="0"/>
      <w:divBdr>
        <w:top w:val="none" w:sz="0" w:space="0" w:color="auto"/>
        <w:left w:val="none" w:sz="0" w:space="0" w:color="auto"/>
        <w:bottom w:val="none" w:sz="0" w:space="0" w:color="auto"/>
        <w:right w:val="none" w:sz="0" w:space="0" w:color="auto"/>
      </w:divBdr>
    </w:div>
    <w:div w:id="312415964">
      <w:bodyDiv w:val="1"/>
      <w:marLeft w:val="0"/>
      <w:marRight w:val="0"/>
      <w:marTop w:val="0"/>
      <w:marBottom w:val="0"/>
      <w:divBdr>
        <w:top w:val="none" w:sz="0" w:space="0" w:color="auto"/>
        <w:left w:val="none" w:sz="0" w:space="0" w:color="auto"/>
        <w:bottom w:val="none" w:sz="0" w:space="0" w:color="auto"/>
        <w:right w:val="none" w:sz="0" w:space="0" w:color="auto"/>
      </w:divBdr>
    </w:div>
    <w:div w:id="346952768">
      <w:bodyDiv w:val="1"/>
      <w:marLeft w:val="0"/>
      <w:marRight w:val="0"/>
      <w:marTop w:val="0"/>
      <w:marBottom w:val="0"/>
      <w:divBdr>
        <w:top w:val="none" w:sz="0" w:space="0" w:color="auto"/>
        <w:left w:val="none" w:sz="0" w:space="0" w:color="auto"/>
        <w:bottom w:val="none" w:sz="0" w:space="0" w:color="auto"/>
        <w:right w:val="none" w:sz="0" w:space="0" w:color="auto"/>
      </w:divBdr>
    </w:div>
    <w:div w:id="386999443">
      <w:bodyDiv w:val="1"/>
      <w:marLeft w:val="0"/>
      <w:marRight w:val="0"/>
      <w:marTop w:val="0"/>
      <w:marBottom w:val="0"/>
      <w:divBdr>
        <w:top w:val="none" w:sz="0" w:space="0" w:color="auto"/>
        <w:left w:val="none" w:sz="0" w:space="0" w:color="auto"/>
        <w:bottom w:val="none" w:sz="0" w:space="0" w:color="auto"/>
        <w:right w:val="none" w:sz="0" w:space="0" w:color="auto"/>
      </w:divBdr>
    </w:div>
    <w:div w:id="391193506">
      <w:bodyDiv w:val="1"/>
      <w:marLeft w:val="0"/>
      <w:marRight w:val="0"/>
      <w:marTop w:val="0"/>
      <w:marBottom w:val="0"/>
      <w:divBdr>
        <w:top w:val="none" w:sz="0" w:space="0" w:color="auto"/>
        <w:left w:val="none" w:sz="0" w:space="0" w:color="auto"/>
        <w:bottom w:val="none" w:sz="0" w:space="0" w:color="auto"/>
        <w:right w:val="none" w:sz="0" w:space="0" w:color="auto"/>
      </w:divBdr>
    </w:div>
    <w:div w:id="411700946">
      <w:bodyDiv w:val="1"/>
      <w:marLeft w:val="0"/>
      <w:marRight w:val="0"/>
      <w:marTop w:val="0"/>
      <w:marBottom w:val="0"/>
      <w:divBdr>
        <w:top w:val="none" w:sz="0" w:space="0" w:color="auto"/>
        <w:left w:val="none" w:sz="0" w:space="0" w:color="auto"/>
        <w:bottom w:val="none" w:sz="0" w:space="0" w:color="auto"/>
        <w:right w:val="none" w:sz="0" w:space="0" w:color="auto"/>
      </w:divBdr>
    </w:div>
    <w:div w:id="412122053">
      <w:bodyDiv w:val="1"/>
      <w:marLeft w:val="0"/>
      <w:marRight w:val="0"/>
      <w:marTop w:val="0"/>
      <w:marBottom w:val="0"/>
      <w:divBdr>
        <w:top w:val="none" w:sz="0" w:space="0" w:color="auto"/>
        <w:left w:val="none" w:sz="0" w:space="0" w:color="auto"/>
        <w:bottom w:val="none" w:sz="0" w:space="0" w:color="auto"/>
        <w:right w:val="none" w:sz="0" w:space="0" w:color="auto"/>
      </w:divBdr>
    </w:div>
    <w:div w:id="433523687">
      <w:bodyDiv w:val="1"/>
      <w:marLeft w:val="0"/>
      <w:marRight w:val="0"/>
      <w:marTop w:val="0"/>
      <w:marBottom w:val="0"/>
      <w:divBdr>
        <w:top w:val="none" w:sz="0" w:space="0" w:color="auto"/>
        <w:left w:val="none" w:sz="0" w:space="0" w:color="auto"/>
        <w:bottom w:val="none" w:sz="0" w:space="0" w:color="auto"/>
        <w:right w:val="none" w:sz="0" w:space="0" w:color="auto"/>
      </w:divBdr>
    </w:div>
    <w:div w:id="498548207">
      <w:bodyDiv w:val="1"/>
      <w:marLeft w:val="0"/>
      <w:marRight w:val="0"/>
      <w:marTop w:val="0"/>
      <w:marBottom w:val="0"/>
      <w:divBdr>
        <w:top w:val="none" w:sz="0" w:space="0" w:color="auto"/>
        <w:left w:val="none" w:sz="0" w:space="0" w:color="auto"/>
        <w:bottom w:val="none" w:sz="0" w:space="0" w:color="auto"/>
        <w:right w:val="none" w:sz="0" w:space="0" w:color="auto"/>
      </w:divBdr>
    </w:div>
    <w:div w:id="525290808">
      <w:bodyDiv w:val="1"/>
      <w:marLeft w:val="0"/>
      <w:marRight w:val="0"/>
      <w:marTop w:val="0"/>
      <w:marBottom w:val="0"/>
      <w:divBdr>
        <w:top w:val="none" w:sz="0" w:space="0" w:color="auto"/>
        <w:left w:val="none" w:sz="0" w:space="0" w:color="auto"/>
        <w:bottom w:val="none" w:sz="0" w:space="0" w:color="auto"/>
        <w:right w:val="none" w:sz="0" w:space="0" w:color="auto"/>
      </w:divBdr>
    </w:div>
    <w:div w:id="534003756">
      <w:bodyDiv w:val="1"/>
      <w:marLeft w:val="0"/>
      <w:marRight w:val="0"/>
      <w:marTop w:val="0"/>
      <w:marBottom w:val="0"/>
      <w:divBdr>
        <w:top w:val="none" w:sz="0" w:space="0" w:color="auto"/>
        <w:left w:val="none" w:sz="0" w:space="0" w:color="auto"/>
        <w:bottom w:val="none" w:sz="0" w:space="0" w:color="auto"/>
        <w:right w:val="none" w:sz="0" w:space="0" w:color="auto"/>
      </w:divBdr>
    </w:div>
    <w:div w:id="681979950">
      <w:bodyDiv w:val="1"/>
      <w:marLeft w:val="0"/>
      <w:marRight w:val="0"/>
      <w:marTop w:val="0"/>
      <w:marBottom w:val="0"/>
      <w:divBdr>
        <w:top w:val="none" w:sz="0" w:space="0" w:color="auto"/>
        <w:left w:val="none" w:sz="0" w:space="0" w:color="auto"/>
        <w:bottom w:val="none" w:sz="0" w:space="0" w:color="auto"/>
        <w:right w:val="none" w:sz="0" w:space="0" w:color="auto"/>
      </w:divBdr>
    </w:div>
    <w:div w:id="691609798">
      <w:bodyDiv w:val="1"/>
      <w:marLeft w:val="0"/>
      <w:marRight w:val="0"/>
      <w:marTop w:val="0"/>
      <w:marBottom w:val="0"/>
      <w:divBdr>
        <w:top w:val="none" w:sz="0" w:space="0" w:color="auto"/>
        <w:left w:val="none" w:sz="0" w:space="0" w:color="auto"/>
        <w:bottom w:val="none" w:sz="0" w:space="0" w:color="auto"/>
        <w:right w:val="none" w:sz="0" w:space="0" w:color="auto"/>
      </w:divBdr>
    </w:div>
    <w:div w:id="840316326">
      <w:bodyDiv w:val="1"/>
      <w:marLeft w:val="0"/>
      <w:marRight w:val="0"/>
      <w:marTop w:val="0"/>
      <w:marBottom w:val="0"/>
      <w:divBdr>
        <w:top w:val="none" w:sz="0" w:space="0" w:color="auto"/>
        <w:left w:val="none" w:sz="0" w:space="0" w:color="auto"/>
        <w:bottom w:val="none" w:sz="0" w:space="0" w:color="auto"/>
        <w:right w:val="none" w:sz="0" w:space="0" w:color="auto"/>
      </w:divBdr>
    </w:div>
    <w:div w:id="859470041">
      <w:bodyDiv w:val="1"/>
      <w:marLeft w:val="0"/>
      <w:marRight w:val="0"/>
      <w:marTop w:val="0"/>
      <w:marBottom w:val="0"/>
      <w:divBdr>
        <w:top w:val="none" w:sz="0" w:space="0" w:color="auto"/>
        <w:left w:val="none" w:sz="0" w:space="0" w:color="auto"/>
        <w:bottom w:val="none" w:sz="0" w:space="0" w:color="auto"/>
        <w:right w:val="none" w:sz="0" w:space="0" w:color="auto"/>
      </w:divBdr>
    </w:div>
    <w:div w:id="910386482">
      <w:bodyDiv w:val="1"/>
      <w:marLeft w:val="0"/>
      <w:marRight w:val="0"/>
      <w:marTop w:val="0"/>
      <w:marBottom w:val="0"/>
      <w:divBdr>
        <w:top w:val="none" w:sz="0" w:space="0" w:color="auto"/>
        <w:left w:val="none" w:sz="0" w:space="0" w:color="auto"/>
        <w:bottom w:val="none" w:sz="0" w:space="0" w:color="auto"/>
        <w:right w:val="none" w:sz="0" w:space="0" w:color="auto"/>
      </w:divBdr>
    </w:div>
    <w:div w:id="929507951">
      <w:bodyDiv w:val="1"/>
      <w:marLeft w:val="0"/>
      <w:marRight w:val="0"/>
      <w:marTop w:val="0"/>
      <w:marBottom w:val="0"/>
      <w:divBdr>
        <w:top w:val="none" w:sz="0" w:space="0" w:color="auto"/>
        <w:left w:val="none" w:sz="0" w:space="0" w:color="auto"/>
        <w:bottom w:val="none" w:sz="0" w:space="0" w:color="auto"/>
        <w:right w:val="none" w:sz="0" w:space="0" w:color="auto"/>
      </w:divBdr>
    </w:div>
    <w:div w:id="955410108">
      <w:bodyDiv w:val="1"/>
      <w:marLeft w:val="0"/>
      <w:marRight w:val="0"/>
      <w:marTop w:val="0"/>
      <w:marBottom w:val="0"/>
      <w:divBdr>
        <w:top w:val="none" w:sz="0" w:space="0" w:color="auto"/>
        <w:left w:val="none" w:sz="0" w:space="0" w:color="auto"/>
        <w:bottom w:val="none" w:sz="0" w:space="0" w:color="auto"/>
        <w:right w:val="none" w:sz="0" w:space="0" w:color="auto"/>
      </w:divBdr>
    </w:div>
    <w:div w:id="1022361767">
      <w:bodyDiv w:val="1"/>
      <w:marLeft w:val="0"/>
      <w:marRight w:val="0"/>
      <w:marTop w:val="0"/>
      <w:marBottom w:val="0"/>
      <w:divBdr>
        <w:top w:val="none" w:sz="0" w:space="0" w:color="auto"/>
        <w:left w:val="none" w:sz="0" w:space="0" w:color="auto"/>
        <w:bottom w:val="none" w:sz="0" w:space="0" w:color="auto"/>
        <w:right w:val="none" w:sz="0" w:space="0" w:color="auto"/>
      </w:divBdr>
    </w:div>
    <w:div w:id="1029990094">
      <w:bodyDiv w:val="1"/>
      <w:marLeft w:val="0"/>
      <w:marRight w:val="0"/>
      <w:marTop w:val="0"/>
      <w:marBottom w:val="0"/>
      <w:divBdr>
        <w:top w:val="none" w:sz="0" w:space="0" w:color="auto"/>
        <w:left w:val="none" w:sz="0" w:space="0" w:color="auto"/>
        <w:bottom w:val="none" w:sz="0" w:space="0" w:color="auto"/>
        <w:right w:val="none" w:sz="0" w:space="0" w:color="auto"/>
      </w:divBdr>
    </w:div>
    <w:div w:id="1077898550">
      <w:bodyDiv w:val="1"/>
      <w:marLeft w:val="0"/>
      <w:marRight w:val="0"/>
      <w:marTop w:val="0"/>
      <w:marBottom w:val="0"/>
      <w:divBdr>
        <w:top w:val="none" w:sz="0" w:space="0" w:color="auto"/>
        <w:left w:val="none" w:sz="0" w:space="0" w:color="auto"/>
        <w:bottom w:val="none" w:sz="0" w:space="0" w:color="auto"/>
        <w:right w:val="none" w:sz="0" w:space="0" w:color="auto"/>
      </w:divBdr>
    </w:div>
    <w:div w:id="1147670863">
      <w:bodyDiv w:val="1"/>
      <w:marLeft w:val="0"/>
      <w:marRight w:val="0"/>
      <w:marTop w:val="0"/>
      <w:marBottom w:val="0"/>
      <w:divBdr>
        <w:top w:val="none" w:sz="0" w:space="0" w:color="auto"/>
        <w:left w:val="none" w:sz="0" w:space="0" w:color="auto"/>
        <w:bottom w:val="none" w:sz="0" w:space="0" w:color="auto"/>
        <w:right w:val="none" w:sz="0" w:space="0" w:color="auto"/>
      </w:divBdr>
    </w:div>
    <w:div w:id="1209221616">
      <w:bodyDiv w:val="1"/>
      <w:marLeft w:val="0"/>
      <w:marRight w:val="0"/>
      <w:marTop w:val="0"/>
      <w:marBottom w:val="0"/>
      <w:divBdr>
        <w:top w:val="none" w:sz="0" w:space="0" w:color="auto"/>
        <w:left w:val="none" w:sz="0" w:space="0" w:color="auto"/>
        <w:bottom w:val="none" w:sz="0" w:space="0" w:color="auto"/>
        <w:right w:val="none" w:sz="0" w:space="0" w:color="auto"/>
      </w:divBdr>
    </w:div>
    <w:div w:id="1275362912">
      <w:bodyDiv w:val="1"/>
      <w:marLeft w:val="0"/>
      <w:marRight w:val="0"/>
      <w:marTop w:val="0"/>
      <w:marBottom w:val="0"/>
      <w:divBdr>
        <w:top w:val="none" w:sz="0" w:space="0" w:color="auto"/>
        <w:left w:val="none" w:sz="0" w:space="0" w:color="auto"/>
        <w:bottom w:val="none" w:sz="0" w:space="0" w:color="auto"/>
        <w:right w:val="none" w:sz="0" w:space="0" w:color="auto"/>
      </w:divBdr>
    </w:div>
    <w:div w:id="1278174176">
      <w:bodyDiv w:val="1"/>
      <w:marLeft w:val="0"/>
      <w:marRight w:val="0"/>
      <w:marTop w:val="0"/>
      <w:marBottom w:val="0"/>
      <w:divBdr>
        <w:top w:val="none" w:sz="0" w:space="0" w:color="auto"/>
        <w:left w:val="none" w:sz="0" w:space="0" w:color="auto"/>
        <w:bottom w:val="none" w:sz="0" w:space="0" w:color="auto"/>
        <w:right w:val="none" w:sz="0" w:space="0" w:color="auto"/>
      </w:divBdr>
    </w:div>
    <w:div w:id="1345210423">
      <w:bodyDiv w:val="1"/>
      <w:marLeft w:val="0"/>
      <w:marRight w:val="0"/>
      <w:marTop w:val="0"/>
      <w:marBottom w:val="0"/>
      <w:divBdr>
        <w:top w:val="none" w:sz="0" w:space="0" w:color="auto"/>
        <w:left w:val="none" w:sz="0" w:space="0" w:color="auto"/>
        <w:bottom w:val="none" w:sz="0" w:space="0" w:color="auto"/>
        <w:right w:val="none" w:sz="0" w:space="0" w:color="auto"/>
      </w:divBdr>
    </w:div>
    <w:div w:id="1367368534">
      <w:bodyDiv w:val="1"/>
      <w:marLeft w:val="0"/>
      <w:marRight w:val="0"/>
      <w:marTop w:val="0"/>
      <w:marBottom w:val="0"/>
      <w:divBdr>
        <w:top w:val="none" w:sz="0" w:space="0" w:color="auto"/>
        <w:left w:val="none" w:sz="0" w:space="0" w:color="auto"/>
        <w:bottom w:val="none" w:sz="0" w:space="0" w:color="auto"/>
        <w:right w:val="none" w:sz="0" w:space="0" w:color="auto"/>
      </w:divBdr>
    </w:div>
    <w:div w:id="1379626670">
      <w:bodyDiv w:val="1"/>
      <w:marLeft w:val="0"/>
      <w:marRight w:val="0"/>
      <w:marTop w:val="0"/>
      <w:marBottom w:val="0"/>
      <w:divBdr>
        <w:top w:val="none" w:sz="0" w:space="0" w:color="auto"/>
        <w:left w:val="none" w:sz="0" w:space="0" w:color="auto"/>
        <w:bottom w:val="none" w:sz="0" w:space="0" w:color="auto"/>
        <w:right w:val="none" w:sz="0" w:space="0" w:color="auto"/>
      </w:divBdr>
    </w:div>
    <w:div w:id="1385446819">
      <w:bodyDiv w:val="1"/>
      <w:marLeft w:val="0"/>
      <w:marRight w:val="0"/>
      <w:marTop w:val="0"/>
      <w:marBottom w:val="0"/>
      <w:divBdr>
        <w:top w:val="none" w:sz="0" w:space="0" w:color="auto"/>
        <w:left w:val="none" w:sz="0" w:space="0" w:color="auto"/>
        <w:bottom w:val="none" w:sz="0" w:space="0" w:color="auto"/>
        <w:right w:val="none" w:sz="0" w:space="0" w:color="auto"/>
      </w:divBdr>
    </w:div>
    <w:div w:id="1433628203">
      <w:bodyDiv w:val="1"/>
      <w:marLeft w:val="0"/>
      <w:marRight w:val="0"/>
      <w:marTop w:val="0"/>
      <w:marBottom w:val="0"/>
      <w:divBdr>
        <w:top w:val="none" w:sz="0" w:space="0" w:color="auto"/>
        <w:left w:val="none" w:sz="0" w:space="0" w:color="auto"/>
        <w:bottom w:val="none" w:sz="0" w:space="0" w:color="auto"/>
        <w:right w:val="none" w:sz="0" w:space="0" w:color="auto"/>
      </w:divBdr>
    </w:div>
    <w:div w:id="1491946476">
      <w:bodyDiv w:val="1"/>
      <w:marLeft w:val="0"/>
      <w:marRight w:val="0"/>
      <w:marTop w:val="0"/>
      <w:marBottom w:val="0"/>
      <w:divBdr>
        <w:top w:val="none" w:sz="0" w:space="0" w:color="auto"/>
        <w:left w:val="none" w:sz="0" w:space="0" w:color="auto"/>
        <w:bottom w:val="none" w:sz="0" w:space="0" w:color="auto"/>
        <w:right w:val="none" w:sz="0" w:space="0" w:color="auto"/>
      </w:divBdr>
    </w:div>
    <w:div w:id="1524704773">
      <w:bodyDiv w:val="1"/>
      <w:marLeft w:val="0"/>
      <w:marRight w:val="0"/>
      <w:marTop w:val="0"/>
      <w:marBottom w:val="0"/>
      <w:divBdr>
        <w:top w:val="none" w:sz="0" w:space="0" w:color="auto"/>
        <w:left w:val="none" w:sz="0" w:space="0" w:color="auto"/>
        <w:bottom w:val="none" w:sz="0" w:space="0" w:color="auto"/>
        <w:right w:val="none" w:sz="0" w:space="0" w:color="auto"/>
      </w:divBdr>
    </w:div>
    <w:div w:id="1530416604">
      <w:bodyDiv w:val="1"/>
      <w:marLeft w:val="0"/>
      <w:marRight w:val="0"/>
      <w:marTop w:val="0"/>
      <w:marBottom w:val="0"/>
      <w:divBdr>
        <w:top w:val="none" w:sz="0" w:space="0" w:color="auto"/>
        <w:left w:val="none" w:sz="0" w:space="0" w:color="auto"/>
        <w:bottom w:val="none" w:sz="0" w:space="0" w:color="auto"/>
        <w:right w:val="none" w:sz="0" w:space="0" w:color="auto"/>
      </w:divBdr>
    </w:div>
    <w:div w:id="1580676212">
      <w:bodyDiv w:val="1"/>
      <w:marLeft w:val="0"/>
      <w:marRight w:val="0"/>
      <w:marTop w:val="0"/>
      <w:marBottom w:val="0"/>
      <w:divBdr>
        <w:top w:val="none" w:sz="0" w:space="0" w:color="auto"/>
        <w:left w:val="none" w:sz="0" w:space="0" w:color="auto"/>
        <w:bottom w:val="none" w:sz="0" w:space="0" w:color="auto"/>
        <w:right w:val="none" w:sz="0" w:space="0" w:color="auto"/>
      </w:divBdr>
    </w:div>
    <w:div w:id="1594783136">
      <w:bodyDiv w:val="1"/>
      <w:marLeft w:val="0"/>
      <w:marRight w:val="0"/>
      <w:marTop w:val="0"/>
      <w:marBottom w:val="0"/>
      <w:divBdr>
        <w:top w:val="none" w:sz="0" w:space="0" w:color="auto"/>
        <w:left w:val="none" w:sz="0" w:space="0" w:color="auto"/>
        <w:bottom w:val="none" w:sz="0" w:space="0" w:color="auto"/>
        <w:right w:val="none" w:sz="0" w:space="0" w:color="auto"/>
      </w:divBdr>
    </w:div>
    <w:div w:id="1598172162">
      <w:bodyDiv w:val="1"/>
      <w:marLeft w:val="0"/>
      <w:marRight w:val="0"/>
      <w:marTop w:val="0"/>
      <w:marBottom w:val="0"/>
      <w:divBdr>
        <w:top w:val="none" w:sz="0" w:space="0" w:color="auto"/>
        <w:left w:val="none" w:sz="0" w:space="0" w:color="auto"/>
        <w:bottom w:val="none" w:sz="0" w:space="0" w:color="auto"/>
        <w:right w:val="none" w:sz="0" w:space="0" w:color="auto"/>
      </w:divBdr>
    </w:div>
    <w:div w:id="1623414267">
      <w:bodyDiv w:val="1"/>
      <w:marLeft w:val="0"/>
      <w:marRight w:val="0"/>
      <w:marTop w:val="0"/>
      <w:marBottom w:val="0"/>
      <w:divBdr>
        <w:top w:val="none" w:sz="0" w:space="0" w:color="auto"/>
        <w:left w:val="none" w:sz="0" w:space="0" w:color="auto"/>
        <w:bottom w:val="none" w:sz="0" w:space="0" w:color="auto"/>
        <w:right w:val="none" w:sz="0" w:space="0" w:color="auto"/>
      </w:divBdr>
    </w:div>
    <w:div w:id="1658263526">
      <w:bodyDiv w:val="1"/>
      <w:marLeft w:val="0"/>
      <w:marRight w:val="0"/>
      <w:marTop w:val="0"/>
      <w:marBottom w:val="0"/>
      <w:divBdr>
        <w:top w:val="none" w:sz="0" w:space="0" w:color="auto"/>
        <w:left w:val="none" w:sz="0" w:space="0" w:color="auto"/>
        <w:bottom w:val="none" w:sz="0" w:space="0" w:color="auto"/>
        <w:right w:val="none" w:sz="0" w:space="0" w:color="auto"/>
      </w:divBdr>
    </w:div>
    <w:div w:id="1669475619">
      <w:bodyDiv w:val="1"/>
      <w:marLeft w:val="0"/>
      <w:marRight w:val="0"/>
      <w:marTop w:val="0"/>
      <w:marBottom w:val="0"/>
      <w:divBdr>
        <w:top w:val="none" w:sz="0" w:space="0" w:color="auto"/>
        <w:left w:val="none" w:sz="0" w:space="0" w:color="auto"/>
        <w:bottom w:val="none" w:sz="0" w:space="0" w:color="auto"/>
        <w:right w:val="none" w:sz="0" w:space="0" w:color="auto"/>
      </w:divBdr>
    </w:div>
    <w:div w:id="1709716420">
      <w:bodyDiv w:val="1"/>
      <w:marLeft w:val="0"/>
      <w:marRight w:val="0"/>
      <w:marTop w:val="0"/>
      <w:marBottom w:val="0"/>
      <w:divBdr>
        <w:top w:val="none" w:sz="0" w:space="0" w:color="auto"/>
        <w:left w:val="none" w:sz="0" w:space="0" w:color="auto"/>
        <w:bottom w:val="none" w:sz="0" w:space="0" w:color="auto"/>
        <w:right w:val="none" w:sz="0" w:space="0" w:color="auto"/>
      </w:divBdr>
    </w:div>
    <w:div w:id="1761827870">
      <w:bodyDiv w:val="1"/>
      <w:marLeft w:val="0"/>
      <w:marRight w:val="0"/>
      <w:marTop w:val="0"/>
      <w:marBottom w:val="0"/>
      <w:divBdr>
        <w:top w:val="none" w:sz="0" w:space="0" w:color="auto"/>
        <w:left w:val="none" w:sz="0" w:space="0" w:color="auto"/>
        <w:bottom w:val="none" w:sz="0" w:space="0" w:color="auto"/>
        <w:right w:val="none" w:sz="0" w:space="0" w:color="auto"/>
      </w:divBdr>
    </w:div>
    <w:div w:id="1766800197">
      <w:bodyDiv w:val="1"/>
      <w:marLeft w:val="0"/>
      <w:marRight w:val="0"/>
      <w:marTop w:val="0"/>
      <w:marBottom w:val="0"/>
      <w:divBdr>
        <w:top w:val="none" w:sz="0" w:space="0" w:color="auto"/>
        <w:left w:val="none" w:sz="0" w:space="0" w:color="auto"/>
        <w:bottom w:val="none" w:sz="0" w:space="0" w:color="auto"/>
        <w:right w:val="none" w:sz="0" w:space="0" w:color="auto"/>
      </w:divBdr>
    </w:div>
    <w:div w:id="1775130751">
      <w:bodyDiv w:val="1"/>
      <w:marLeft w:val="0"/>
      <w:marRight w:val="0"/>
      <w:marTop w:val="0"/>
      <w:marBottom w:val="0"/>
      <w:divBdr>
        <w:top w:val="none" w:sz="0" w:space="0" w:color="auto"/>
        <w:left w:val="none" w:sz="0" w:space="0" w:color="auto"/>
        <w:bottom w:val="none" w:sz="0" w:space="0" w:color="auto"/>
        <w:right w:val="none" w:sz="0" w:space="0" w:color="auto"/>
      </w:divBdr>
    </w:div>
    <w:div w:id="1785807266">
      <w:bodyDiv w:val="1"/>
      <w:marLeft w:val="0"/>
      <w:marRight w:val="0"/>
      <w:marTop w:val="0"/>
      <w:marBottom w:val="0"/>
      <w:divBdr>
        <w:top w:val="none" w:sz="0" w:space="0" w:color="auto"/>
        <w:left w:val="none" w:sz="0" w:space="0" w:color="auto"/>
        <w:bottom w:val="none" w:sz="0" w:space="0" w:color="auto"/>
        <w:right w:val="none" w:sz="0" w:space="0" w:color="auto"/>
      </w:divBdr>
    </w:div>
    <w:div w:id="1801149294">
      <w:bodyDiv w:val="1"/>
      <w:marLeft w:val="0"/>
      <w:marRight w:val="0"/>
      <w:marTop w:val="0"/>
      <w:marBottom w:val="0"/>
      <w:divBdr>
        <w:top w:val="none" w:sz="0" w:space="0" w:color="auto"/>
        <w:left w:val="none" w:sz="0" w:space="0" w:color="auto"/>
        <w:bottom w:val="none" w:sz="0" w:space="0" w:color="auto"/>
        <w:right w:val="none" w:sz="0" w:space="0" w:color="auto"/>
      </w:divBdr>
    </w:div>
    <w:div w:id="1849908189">
      <w:bodyDiv w:val="1"/>
      <w:marLeft w:val="0"/>
      <w:marRight w:val="0"/>
      <w:marTop w:val="0"/>
      <w:marBottom w:val="0"/>
      <w:divBdr>
        <w:top w:val="none" w:sz="0" w:space="0" w:color="auto"/>
        <w:left w:val="none" w:sz="0" w:space="0" w:color="auto"/>
        <w:bottom w:val="none" w:sz="0" w:space="0" w:color="auto"/>
        <w:right w:val="none" w:sz="0" w:space="0" w:color="auto"/>
      </w:divBdr>
    </w:div>
    <w:div w:id="1855262114">
      <w:bodyDiv w:val="1"/>
      <w:marLeft w:val="0"/>
      <w:marRight w:val="0"/>
      <w:marTop w:val="0"/>
      <w:marBottom w:val="0"/>
      <w:divBdr>
        <w:top w:val="none" w:sz="0" w:space="0" w:color="auto"/>
        <w:left w:val="none" w:sz="0" w:space="0" w:color="auto"/>
        <w:bottom w:val="none" w:sz="0" w:space="0" w:color="auto"/>
        <w:right w:val="none" w:sz="0" w:space="0" w:color="auto"/>
      </w:divBdr>
    </w:div>
    <w:div w:id="1881673282">
      <w:bodyDiv w:val="1"/>
      <w:marLeft w:val="0"/>
      <w:marRight w:val="0"/>
      <w:marTop w:val="0"/>
      <w:marBottom w:val="0"/>
      <w:divBdr>
        <w:top w:val="none" w:sz="0" w:space="0" w:color="auto"/>
        <w:left w:val="none" w:sz="0" w:space="0" w:color="auto"/>
        <w:bottom w:val="none" w:sz="0" w:space="0" w:color="auto"/>
        <w:right w:val="none" w:sz="0" w:space="0" w:color="auto"/>
      </w:divBdr>
    </w:div>
    <w:div w:id="1884713098">
      <w:bodyDiv w:val="1"/>
      <w:marLeft w:val="0"/>
      <w:marRight w:val="0"/>
      <w:marTop w:val="0"/>
      <w:marBottom w:val="0"/>
      <w:divBdr>
        <w:top w:val="none" w:sz="0" w:space="0" w:color="auto"/>
        <w:left w:val="none" w:sz="0" w:space="0" w:color="auto"/>
        <w:bottom w:val="none" w:sz="0" w:space="0" w:color="auto"/>
        <w:right w:val="none" w:sz="0" w:space="0" w:color="auto"/>
      </w:divBdr>
    </w:div>
    <w:div w:id="1896961678">
      <w:bodyDiv w:val="1"/>
      <w:marLeft w:val="0"/>
      <w:marRight w:val="0"/>
      <w:marTop w:val="0"/>
      <w:marBottom w:val="0"/>
      <w:divBdr>
        <w:top w:val="none" w:sz="0" w:space="0" w:color="auto"/>
        <w:left w:val="none" w:sz="0" w:space="0" w:color="auto"/>
        <w:bottom w:val="none" w:sz="0" w:space="0" w:color="auto"/>
        <w:right w:val="none" w:sz="0" w:space="0" w:color="auto"/>
      </w:divBdr>
    </w:div>
    <w:div w:id="1920410055">
      <w:bodyDiv w:val="1"/>
      <w:marLeft w:val="0"/>
      <w:marRight w:val="0"/>
      <w:marTop w:val="0"/>
      <w:marBottom w:val="0"/>
      <w:divBdr>
        <w:top w:val="none" w:sz="0" w:space="0" w:color="auto"/>
        <w:left w:val="none" w:sz="0" w:space="0" w:color="auto"/>
        <w:bottom w:val="none" w:sz="0" w:space="0" w:color="auto"/>
        <w:right w:val="none" w:sz="0" w:space="0" w:color="auto"/>
      </w:divBdr>
    </w:div>
    <w:div w:id="1970890134">
      <w:bodyDiv w:val="1"/>
      <w:marLeft w:val="0"/>
      <w:marRight w:val="0"/>
      <w:marTop w:val="0"/>
      <w:marBottom w:val="0"/>
      <w:divBdr>
        <w:top w:val="none" w:sz="0" w:space="0" w:color="auto"/>
        <w:left w:val="none" w:sz="0" w:space="0" w:color="auto"/>
        <w:bottom w:val="none" w:sz="0" w:space="0" w:color="auto"/>
        <w:right w:val="none" w:sz="0" w:space="0" w:color="auto"/>
      </w:divBdr>
    </w:div>
    <w:div w:id="1993756728">
      <w:bodyDiv w:val="1"/>
      <w:marLeft w:val="0"/>
      <w:marRight w:val="0"/>
      <w:marTop w:val="0"/>
      <w:marBottom w:val="0"/>
      <w:divBdr>
        <w:top w:val="none" w:sz="0" w:space="0" w:color="auto"/>
        <w:left w:val="none" w:sz="0" w:space="0" w:color="auto"/>
        <w:bottom w:val="none" w:sz="0" w:space="0" w:color="auto"/>
        <w:right w:val="none" w:sz="0" w:space="0" w:color="auto"/>
      </w:divBdr>
    </w:div>
    <w:div w:id="1993873845">
      <w:bodyDiv w:val="1"/>
      <w:marLeft w:val="0"/>
      <w:marRight w:val="0"/>
      <w:marTop w:val="0"/>
      <w:marBottom w:val="0"/>
      <w:divBdr>
        <w:top w:val="none" w:sz="0" w:space="0" w:color="auto"/>
        <w:left w:val="none" w:sz="0" w:space="0" w:color="auto"/>
        <w:bottom w:val="none" w:sz="0" w:space="0" w:color="auto"/>
        <w:right w:val="none" w:sz="0" w:space="0" w:color="auto"/>
      </w:divBdr>
    </w:div>
    <w:div w:id="2012104205">
      <w:bodyDiv w:val="1"/>
      <w:marLeft w:val="0"/>
      <w:marRight w:val="0"/>
      <w:marTop w:val="0"/>
      <w:marBottom w:val="0"/>
      <w:divBdr>
        <w:top w:val="none" w:sz="0" w:space="0" w:color="auto"/>
        <w:left w:val="none" w:sz="0" w:space="0" w:color="auto"/>
        <w:bottom w:val="none" w:sz="0" w:space="0" w:color="auto"/>
        <w:right w:val="none" w:sz="0" w:space="0" w:color="auto"/>
      </w:divBdr>
    </w:div>
    <w:div w:id="2090345942">
      <w:bodyDiv w:val="1"/>
      <w:marLeft w:val="0"/>
      <w:marRight w:val="0"/>
      <w:marTop w:val="0"/>
      <w:marBottom w:val="0"/>
      <w:divBdr>
        <w:top w:val="none" w:sz="0" w:space="0" w:color="auto"/>
        <w:left w:val="none" w:sz="0" w:space="0" w:color="auto"/>
        <w:bottom w:val="none" w:sz="0" w:space="0" w:color="auto"/>
        <w:right w:val="none" w:sz="0" w:space="0" w:color="auto"/>
      </w:divBdr>
    </w:div>
    <w:div w:id="2121023386">
      <w:bodyDiv w:val="1"/>
      <w:marLeft w:val="0"/>
      <w:marRight w:val="0"/>
      <w:marTop w:val="0"/>
      <w:marBottom w:val="0"/>
      <w:divBdr>
        <w:top w:val="none" w:sz="0" w:space="0" w:color="auto"/>
        <w:left w:val="none" w:sz="0" w:space="0" w:color="auto"/>
        <w:bottom w:val="none" w:sz="0" w:space="0" w:color="auto"/>
        <w:right w:val="none" w:sz="0" w:space="0" w:color="auto"/>
      </w:divBdr>
    </w:div>
    <w:div w:id="21440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camoko.ca" TargetMode="External"/><Relationship Id="rId5" Type="http://schemas.openxmlformats.org/officeDocument/2006/relationships/settings" Target="settings.xml"/><Relationship Id="rId10" Type="http://schemas.openxmlformats.org/officeDocument/2006/relationships/hyperlink" Target="mailto:andrae@camoko.ca" TargetMode="External"/><Relationship Id="rId4" Type="http://schemas.openxmlformats.org/officeDocument/2006/relationships/styles" Target="styles.xml"/><Relationship Id="rId9" Type="http://schemas.openxmlformats.org/officeDocument/2006/relationships/hyperlink" Target="mailto:ashely@camoko.c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canlii.ca/t/fx8k0" TargetMode="External"/><Relationship Id="rId18" Type="http://schemas.openxmlformats.org/officeDocument/2006/relationships/hyperlink" Target="https://canlii.ca/t/fx8k0" TargetMode="External"/><Relationship Id="rId26" Type="http://schemas.openxmlformats.org/officeDocument/2006/relationships/hyperlink" Target="https://canlii.ca/t/hplh5" TargetMode="External"/><Relationship Id="rId21" Type="http://schemas.openxmlformats.org/officeDocument/2006/relationships/hyperlink" Target="https://canlii.ca/t/fx8k0" TargetMode="External"/><Relationship Id="rId34" Type="http://schemas.openxmlformats.org/officeDocument/2006/relationships/hyperlink" Target="https://canlii.ca/t/h2ppp" TargetMode="External"/><Relationship Id="rId7" Type="http://schemas.openxmlformats.org/officeDocument/2006/relationships/hyperlink" Target="https://canlii.ca/t/1l5xk" TargetMode="External"/><Relationship Id="rId12" Type="http://schemas.openxmlformats.org/officeDocument/2006/relationships/hyperlink" Target="https://www.canlii.org/en/bc/laws/regu/bc-reg-238-2016/latest/bc-reg-238-2016.html" TargetMode="External"/><Relationship Id="rId17" Type="http://schemas.openxmlformats.org/officeDocument/2006/relationships/hyperlink" Target="https://canlii.ca/t/fx8k0" TargetMode="External"/><Relationship Id="rId25" Type="http://schemas.openxmlformats.org/officeDocument/2006/relationships/hyperlink" Target="https://canlii.ca/t/hplh5" TargetMode="External"/><Relationship Id="rId33" Type="http://schemas.openxmlformats.org/officeDocument/2006/relationships/hyperlink" Target="https://canlii.ca/t/h2ppp" TargetMode="External"/><Relationship Id="rId38" Type="http://schemas.openxmlformats.org/officeDocument/2006/relationships/hyperlink" Target="https://canlii.ca/t/h2ppp" TargetMode="External"/><Relationship Id="rId2" Type="http://schemas.openxmlformats.org/officeDocument/2006/relationships/hyperlink" Target="https://canlii.ca/t/snh" TargetMode="External"/><Relationship Id="rId16" Type="http://schemas.openxmlformats.org/officeDocument/2006/relationships/hyperlink" Target="https://canlii.ca/t/fx8k0" TargetMode="External"/><Relationship Id="rId20" Type="http://schemas.openxmlformats.org/officeDocument/2006/relationships/hyperlink" Target="https://canlii.ca/t/fx8k0" TargetMode="External"/><Relationship Id="rId29" Type="http://schemas.openxmlformats.org/officeDocument/2006/relationships/hyperlink" Target="https://canlii.ca/t/hplh5" TargetMode="External"/><Relationship Id="rId1" Type="http://schemas.openxmlformats.org/officeDocument/2006/relationships/hyperlink" Target="https://canlii.ca/t/306" TargetMode="External"/><Relationship Id="rId6" Type="http://schemas.openxmlformats.org/officeDocument/2006/relationships/hyperlink" Target="https://canlii.ca/t/1l5xk" TargetMode="External"/><Relationship Id="rId11" Type="http://schemas.openxmlformats.org/officeDocument/2006/relationships/hyperlink" Target="https://www.canlii.org/en/pe/laws/regu/pei-reg-ec232-06/latest/pei-reg-ec232-06.html" TargetMode="External"/><Relationship Id="rId24" Type="http://schemas.openxmlformats.org/officeDocument/2006/relationships/hyperlink" Target="https://canlii.ca/t/hplh5" TargetMode="External"/><Relationship Id="rId32" Type="http://schemas.openxmlformats.org/officeDocument/2006/relationships/hyperlink" Target="https://canlii.ca/t/h2ppp" TargetMode="External"/><Relationship Id="rId37" Type="http://schemas.openxmlformats.org/officeDocument/2006/relationships/hyperlink" Target="https://canlii.ca/t/h2ppp" TargetMode="External"/><Relationship Id="rId5" Type="http://schemas.openxmlformats.org/officeDocument/2006/relationships/hyperlink" Target="https://canlii.ca/t/1l5xk" TargetMode="External"/><Relationship Id="rId15" Type="http://schemas.openxmlformats.org/officeDocument/2006/relationships/hyperlink" Target="https://canlii.ca/t/fx8k0" TargetMode="External"/><Relationship Id="rId23" Type="http://schemas.openxmlformats.org/officeDocument/2006/relationships/hyperlink" Target="https://canlii.ca/t/hplh5" TargetMode="External"/><Relationship Id="rId28" Type="http://schemas.openxmlformats.org/officeDocument/2006/relationships/hyperlink" Target="https://canlii.ca/t/hplh5" TargetMode="External"/><Relationship Id="rId36" Type="http://schemas.openxmlformats.org/officeDocument/2006/relationships/hyperlink" Target="https://canlii.ca/t/h2ppp" TargetMode="External"/><Relationship Id="rId10" Type="http://schemas.openxmlformats.org/officeDocument/2006/relationships/hyperlink" Target="https://www.canlii.org/en/nb/laws/regu/nb-reg-2010-92/latest/nb-reg-2010-92.html" TargetMode="External"/><Relationship Id="rId19" Type="http://schemas.openxmlformats.org/officeDocument/2006/relationships/hyperlink" Target="https://www.canlii.org/en/on/onsc/doc/2013/2013onsc2592/2013onsc2592.html" TargetMode="External"/><Relationship Id="rId31" Type="http://schemas.openxmlformats.org/officeDocument/2006/relationships/hyperlink" Target="https://canlii.ca/t/h2ppp" TargetMode="External"/><Relationship Id="rId4" Type="http://schemas.openxmlformats.org/officeDocument/2006/relationships/hyperlink" Target="https://canlii.ca/t/1l5xk" TargetMode="External"/><Relationship Id="rId9" Type="http://schemas.openxmlformats.org/officeDocument/2006/relationships/hyperlink" Target="https://canlii.ca/t/8qf4" TargetMode="External"/><Relationship Id="rId14" Type="http://schemas.openxmlformats.org/officeDocument/2006/relationships/hyperlink" Target="https://canlii.ca/t/fx8k0" TargetMode="External"/><Relationship Id="rId22" Type="http://schemas.openxmlformats.org/officeDocument/2006/relationships/hyperlink" Target="https://canlii.ca/t/hplh5" TargetMode="External"/><Relationship Id="rId27" Type="http://schemas.openxmlformats.org/officeDocument/2006/relationships/hyperlink" Target="https://canlii.ca/t/hplh5" TargetMode="External"/><Relationship Id="rId30" Type="http://schemas.openxmlformats.org/officeDocument/2006/relationships/hyperlink" Target="https://canlii.ca/t/hplh5" TargetMode="External"/><Relationship Id="rId35" Type="http://schemas.openxmlformats.org/officeDocument/2006/relationships/hyperlink" Target="https://canlii.ca/t/h2ppp" TargetMode="External"/><Relationship Id="rId8" Type="http://schemas.openxmlformats.org/officeDocument/2006/relationships/hyperlink" Target="https://canlii.ca/t/1l5xk" TargetMode="External"/><Relationship Id="rId3" Type="http://schemas.openxmlformats.org/officeDocument/2006/relationships/hyperlink" Target="https://canlii.ca/t/1l5x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BD5749-E4EE-4130-8BBB-EB663A57D4C9}"/>
      </w:docPartPr>
      <w:docPartBody>
        <w:p w:rsidR="00AC3B76" w:rsidRDefault="00AC3B76">
          <w:r w:rsidRPr="00BD70A2">
            <w:rPr>
              <w:rStyle w:val="PlaceholderText"/>
            </w:rPr>
            <w:t>Click or tap here to enter text.</w:t>
          </w:r>
        </w:p>
      </w:docPartBody>
    </w:docPart>
    <w:docPart>
      <w:docPartPr>
        <w:name w:val="9CEB15729C994805A41FAAEE838D01C7"/>
        <w:category>
          <w:name w:val="General"/>
          <w:gallery w:val="placeholder"/>
        </w:category>
        <w:types>
          <w:type w:val="bbPlcHdr"/>
        </w:types>
        <w:behaviors>
          <w:behavior w:val="content"/>
        </w:behaviors>
        <w:guid w:val="{803C8FCA-C22F-4DFF-8CE9-4F3212847AC2}"/>
      </w:docPartPr>
      <w:docPartBody>
        <w:p w:rsidR="006E7864" w:rsidRDefault="00E32A97" w:rsidP="00E32A97">
          <w:pPr>
            <w:pStyle w:val="9CEB15729C994805A41FAAEE838D01C7"/>
          </w:pPr>
          <w:r w:rsidRPr="00BD70A2">
            <w:rPr>
              <w:rStyle w:val="PlaceholderText"/>
            </w:rPr>
            <w:t>Click or tap here to enter text.</w:t>
          </w:r>
        </w:p>
      </w:docPartBody>
    </w:docPart>
    <w:docPart>
      <w:docPartPr>
        <w:name w:val="2CE798EA3BFB428B89D9E113C604B0C1"/>
        <w:category>
          <w:name w:val="General"/>
          <w:gallery w:val="placeholder"/>
        </w:category>
        <w:types>
          <w:type w:val="bbPlcHdr"/>
        </w:types>
        <w:behaviors>
          <w:behavior w:val="content"/>
        </w:behaviors>
        <w:guid w:val="{168CB106-D851-4B76-9694-1CF31ACBC5C9}"/>
      </w:docPartPr>
      <w:docPartBody>
        <w:p w:rsidR="006E7864" w:rsidRDefault="00E32A97" w:rsidP="00E32A97">
          <w:pPr>
            <w:pStyle w:val="2CE798EA3BFB428B89D9E113C604B0C1"/>
          </w:pPr>
          <w:r w:rsidRPr="00BD70A2">
            <w:rPr>
              <w:rStyle w:val="PlaceholderText"/>
            </w:rPr>
            <w:t>Click or tap here to enter text.</w:t>
          </w:r>
        </w:p>
      </w:docPartBody>
    </w:docPart>
    <w:docPart>
      <w:docPartPr>
        <w:name w:val="2BB1072FF77F46DF919205D480C2DCF8"/>
        <w:category>
          <w:name w:val="General"/>
          <w:gallery w:val="placeholder"/>
        </w:category>
        <w:types>
          <w:type w:val="bbPlcHdr"/>
        </w:types>
        <w:behaviors>
          <w:behavior w:val="content"/>
        </w:behaviors>
        <w:guid w:val="{0475EFCD-BEB6-4344-956E-200D5F1828FB}"/>
      </w:docPartPr>
      <w:docPartBody>
        <w:p w:rsidR="00BE45E6" w:rsidRDefault="006E7864" w:rsidP="006E7864">
          <w:pPr>
            <w:pStyle w:val="2BB1072FF77F46DF919205D480C2DCF8"/>
          </w:pPr>
          <w:r w:rsidRPr="00BD70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2F0DA9"/>
    <w:rsid w:val="004279C6"/>
    <w:rsid w:val="004313F1"/>
    <w:rsid w:val="004A6900"/>
    <w:rsid w:val="00546B22"/>
    <w:rsid w:val="005C7E0E"/>
    <w:rsid w:val="006E7864"/>
    <w:rsid w:val="00702E2B"/>
    <w:rsid w:val="0070726C"/>
    <w:rsid w:val="00806FE5"/>
    <w:rsid w:val="008D17FC"/>
    <w:rsid w:val="008F2001"/>
    <w:rsid w:val="009A32FF"/>
    <w:rsid w:val="00A64FCC"/>
    <w:rsid w:val="00A90E94"/>
    <w:rsid w:val="00AC3B76"/>
    <w:rsid w:val="00AD106F"/>
    <w:rsid w:val="00B06952"/>
    <w:rsid w:val="00B55776"/>
    <w:rsid w:val="00B73CB1"/>
    <w:rsid w:val="00BE45E6"/>
    <w:rsid w:val="00D01E8F"/>
    <w:rsid w:val="00D32611"/>
    <w:rsid w:val="00DD2B05"/>
    <w:rsid w:val="00E32A97"/>
    <w:rsid w:val="00EB0917"/>
    <w:rsid w:val="00ED37F5"/>
    <w:rsid w:val="00EF6889"/>
    <w:rsid w:val="00F617AD"/>
    <w:rsid w:val="00F8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864"/>
    <w:rPr>
      <w:color w:val="666666"/>
    </w:rPr>
  </w:style>
  <w:style w:type="paragraph" w:customStyle="1" w:styleId="2BB1072FF77F46DF919205D480C2DCF8">
    <w:name w:val="2BB1072FF77F46DF919205D480C2DCF8"/>
    <w:rsid w:val="006E7864"/>
    <w:rPr>
      <w:lang w:val="en-CA" w:eastAsia="en-CA"/>
    </w:rPr>
  </w:style>
  <w:style w:type="paragraph" w:customStyle="1" w:styleId="9CEB15729C994805A41FAAEE838D01C7">
    <w:name w:val="9CEB15729C994805A41FAAEE838D01C7"/>
    <w:rsid w:val="00E32A97"/>
    <w:rPr>
      <w:lang w:val="en-CA" w:eastAsia="en-CA"/>
    </w:rPr>
  </w:style>
  <w:style w:type="paragraph" w:customStyle="1" w:styleId="2CE798EA3BFB428B89D9E113C604B0C1">
    <w:name w:val="2CE798EA3BFB428B89D9E113C604B0C1"/>
    <w:rsid w:val="00E32A97"/>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4F47C95-03C9-477C-AAB8-AE7A18A7256C}">
  <we:reference id="ff0efa4d-56af-41a3-92a3-027c1985bbd5" version="4.15.0.0" store="EXCatalog" storeType="EXCatalog"/>
  <we:alternateReferences>
    <we:reference id="WA200006070" version="4.15.0.0" store="en-CA" storeType="OMEX"/>
  </we:alternateReferences>
  <we:properties>
    <we:property name="CRNext" value="{&quot;id&quot;:&quot;4dde38fc-f9fa-4807-8d35-2aadb82c8f4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F66845E-6772-4468-ACDD-93AC8B86F2B5}">
  <we:reference id="ede55e60-5684-4362-b334-7cf436a1f2f7" version="1.0.3.0" store="EXCatalog" storeType="EXCatalog"/>
  <we:alternateReferences>
    <we:reference id="WA200008317" version="1.0.3.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SLLP_DMS!5567473.1</documentid>
  <senderid>MNILI</senderid>
  <senderemail>MNILI@SOTOS.CA</senderemail>
  <lastmodified>2025-10-23T12:40:00.0000000-04:00</lastmodified>
  <database>SLLP_DMS</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06FC9-9C46-4195-9F6E-DB7310BDD479}">
  <ds:schemaRefs>
    <ds:schemaRef ds:uri="http://www.imanage.com/work/xmlschema"/>
  </ds:schemaRefs>
</ds:datastoreItem>
</file>

<file path=customXml/itemProps2.xml><?xml version="1.0" encoding="utf-8"?>
<ds:datastoreItem xmlns:ds="http://schemas.openxmlformats.org/officeDocument/2006/customXml" ds:itemID="{27F375D1-C986-45C6-8EAA-91E400BB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8282</Words>
  <Characters>47211</Characters>
  <Application>Microsoft Office Word</Application>
  <DocSecurity>0</DocSecurity>
  <Lines>393</Lines>
  <Paragraphs>110</Paragraphs>
  <ScaleCrop>false</ScaleCrop>
  <Company/>
  <LinksUpToDate>false</LinksUpToDate>
  <CharactersWithSpaces>55383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Caldwell</dc:creator>
  <cp:lastModifiedBy>Andrae Marrocco</cp:lastModifiedBy>
  <cp:revision>5</cp:revision>
  <cp:lastPrinted>1900-01-01T05:00:00Z</cp:lastPrinted>
  <dcterms:created xsi:type="dcterms:W3CDTF">2025-11-26T13:43:00Z</dcterms:created>
  <dcterms:modified xsi:type="dcterms:W3CDTF">2025-11-28T23:57:00Z</dcterms:modified>
</cp:coreProperties>
</file>