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AAFCF" w14:textId="2B504431" w:rsidR="00BF06AD" w:rsidRPr="00BF06AD" w:rsidRDefault="00BF06AD" w:rsidP="00BF06AD">
      <w:pPr>
        <w:widowControl w:val="0"/>
        <w:rPr>
          <w:rFonts w:ascii="Arial" w:eastAsia="Arial" w:hAnsi="Arial" w:cs="Arial"/>
          <w:sz w:val="22"/>
          <w:szCs w:val="22"/>
          <w:lang w:val="en-US"/>
        </w:rPr>
      </w:pPr>
      <w:bookmarkStart w:id="0" w:name="DocsID"/>
      <w:bookmarkEnd w:id="0"/>
    </w:p>
    <w:p w14:paraId="58B75FE8" w14:textId="77777777" w:rsidR="00BF06AD" w:rsidRPr="00BF06AD" w:rsidRDefault="00BF06AD" w:rsidP="00BF06AD">
      <w:pPr>
        <w:widowControl w:val="0"/>
        <w:rPr>
          <w:rFonts w:ascii="Arial" w:eastAsia="Arial" w:hAnsi="Arial" w:cs="Arial"/>
          <w:sz w:val="22"/>
          <w:szCs w:val="22"/>
          <w:lang w:val="en-US"/>
        </w:rPr>
      </w:pPr>
    </w:p>
    <w:p w14:paraId="0DE71A9B" w14:textId="77777777" w:rsidR="00BF06AD" w:rsidRDefault="00BF06AD" w:rsidP="00BF06AD">
      <w:pPr>
        <w:widowControl w:val="0"/>
        <w:spacing w:before="4"/>
        <w:rPr>
          <w:rFonts w:ascii="Arial" w:eastAsia="Arial" w:hAnsi="Arial" w:cs="Arial"/>
          <w:sz w:val="22"/>
          <w:szCs w:val="22"/>
          <w:lang w:val="en-US"/>
        </w:rPr>
      </w:pPr>
    </w:p>
    <w:p w14:paraId="75F45F2F" w14:textId="77777777" w:rsidR="00BF06AD" w:rsidRPr="00BF06AD" w:rsidRDefault="00BF06AD" w:rsidP="00BF06AD">
      <w:pPr>
        <w:widowControl w:val="0"/>
        <w:spacing w:before="4"/>
        <w:rPr>
          <w:rFonts w:ascii="Arial" w:eastAsia="Arial" w:hAnsi="Arial" w:cs="Arial"/>
          <w:sz w:val="22"/>
          <w:szCs w:val="22"/>
          <w:lang w:val="en-US"/>
        </w:rPr>
      </w:pPr>
    </w:p>
    <w:p w14:paraId="3AF474BA" w14:textId="77777777" w:rsidR="00BF06AD" w:rsidRPr="00BF06AD" w:rsidRDefault="00BF06AD" w:rsidP="00BF06AD">
      <w:pPr>
        <w:widowControl w:val="0"/>
        <w:jc w:val="center"/>
        <w:rPr>
          <w:rFonts w:ascii="Arial" w:eastAsia="Arial" w:hAnsi="Arial" w:cs="Arial"/>
          <w:b/>
          <w:sz w:val="28"/>
          <w:szCs w:val="28"/>
          <w:lang w:val="en-US"/>
        </w:rPr>
      </w:pPr>
      <w:r>
        <w:rPr>
          <w:rFonts w:ascii="Arial" w:eastAsia="Arial" w:hAnsi="Arial" w:cs="Arial"/>
          <w:b/>
          <w:sz w:val="28"/>
          <w:szCs w:val="28"/>
          <w:lang w:val="en-US"/>
        </w:rPr>
        <w:t xml:space="preserve">ONTARIO BAR ASSOCIATION </w:t>
      </w:r>
    </w:p>
    <w:p w14:paraId="4F2ED7B7" w14:textId="77777777" w:rsidR="00BF06AD" w:rsidRPr="00BF06AD" w:rsidRDefault="00BF06AD" w:rsidP="00BF06AD">
      <w:pPr>
        <w:widowControl w:val="0"/>
        <w:jc w:val="center"/>
        <w:rPr>
          <w:rFonts w:ascii="Arial" w:eastAsia="Arial" w:hAnsi="Arial" w:cs="Arial"/>
          <w:b/>
          <w:sz w:val="28"/>
          <w:szCs w:val="28"/>
          <w:lang w:val="en-US"/>
        </w:rPr>
      </w:pPr>
    </w:p>
    <w:p w14:paraId="531660A5" w14:textId="48D57246" w:rsidR="00BF06AD" w:rsidRPr="00BF06AD" w:rsidRDefault="00F27079" w:rsidP="00BF06AD">
      <w:pPr>
        <w:widowControl w:val="0"/>
        <w:jc w:val="center"/>
        <w:rPr>
          <w:rFonts w:ascii="Arial" w:eastAsia="Arial" w:hAnsi="Arial" w:cs="Arial"/>
          <w:b/>
          <w:sz w:val="28"/>
          <w:szCs w:val="28"/>
          <w:lang w:val="en-US"/>
        </w:rPr>
      </w:pPr>
      <w:r>
        <w:rPr>
          <w:rFonts w:ascii="Arial" w:eastAsia="Arial" w:hAnsi="Arial" w:cs="Arial"/>
          <w:b/>
          <w:sz w:val="28"/>
          <w:szCs w:val="28"/>
          <w:lang w:val="en-US"/>
        </w:rPr>
        <w:t>The Fundamentals of Franchise Law in Ontario</w:t>
      </w:r>
    </w:p>
    <w:p w14:paraId="1C8679A1" w14:textId="77777777" w:rsidR="00BF06AD" w:rsidRPr="00BF06AD" w:rsidRDefault="00BF06AD" w:rsidP="00BF06AD">
      <w:pPr>
        <w:widowControl w:val="0"/>
        <w:jc w:val="center"/>
        <w:rPr>
          <w:rFonts w:ascii="Arial" w:eastAsia="Arial" w:hAnsi="Arial" w:cs="Arial"/>
          <w:b/>
          <w:sz w:val="28"/>
          <w:szCs w:val="28"/>
          <w:lang w:val="en-US"/>
        </w:rPr>
      </w:pPr>
    </w:p>
    <w:p w14:paraId="628C6060" w14:textId="77777777" w:rsidR="00BF06AD" w:rsidRPr="00BF06AD" w:rsidRDefault="00BF06AD" w:rsidP="00BF06AD">
      <w:pPr>
        <w:widowControl w:val="0"/>
        <w:rPr>
          <w:rFonts w:ascii="Arial" w:eastAsia="Arial" w:hAnsi="Arial" w:cs="Arial"/>
          <w:sz w:val="22"/>
          <w:szCs w:val="22"/>
          <w:lang w:val="en-US"/>
        </w:rPr>
      </w:pPr>
    </w:p>
    <w:p w14:paraId="3E5A2E66" w14:textId="176D8546" w:rsidR="00BF06AD" w:rsidRPr="00BF06AD" w:rsidRDefault="00BF06AD" w:rsidP="00BF06AD">
      <w:pPr>
        <w:widowControl w:val="0"/>
        <w:spacing w:before="1"/>
        <w:rPr>
          <w:rFonts w:ascii="Arial" w:eastAsia="Arial" w:hAnsi="Arial" w:cs="Arial"/>
          <w:sz w:val="22"/>
          <w:szCs w:val="22"/>
          <w:lang w:val="en-US"/>
        </w:rPr>
      </w:pPr>
      <w:r w:rsidRPr="00BF06AD">
        <w:rPr>
          <w:rFonts w:ascii="Arial" w:eastAsia="Arial" w:hAnsi="Arial" w:cs="Arial"/>
          <w:noProof/>
          <w:sz w:val="22"/>
          <w:szCs w:val="22"/>
          <w:lang w:eastAsia="en-CA"/>
        </w:rPr>
        <mc:AlternateContent>
          <mc:Choice Requires="wps">
            <w:drawing>
              <wp:anchor distT="0" distB="0" distL="0" distR="0" simplePos="0" relativeHeight="251659264" behindDoc="0" locked="0" layoutInCell="1" allowOverlap="1" wp14:anchorId="57355CE9" wp14:editId="353A33DB">
                <wp:simplePos x="0" y="0"/>
                <wp:positionH relativeFrom="page">
                  <wp:posOffset>1600200</wp:posOffset>
                </wp:positionH>
                <wp:positionV relativeFrom="paragraph">
                  <wp:posOffset>229235</wp:posOffset>
                </wp:positionV>
                <wp:extent cx="4572000" cy="0"/>
                <wp:effectExtent l="9525" t="9525" r="9525"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EABA0" id="Straight Connector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pt,18.05pt" to="48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" strokeweight="1pt">
                <w10:wrap type="topAndBottom" anchorx="page"/>
              </v:line>
            </w:pict>
          </mc:Fallback>
        </mc:AlternateContent>
      </w:r>
    </w:p>
    <w:p w14:paraId="24B2CBA2" w14:textId="77777777" w:rsidR="00BF06AD" w:rsidRPr="00BF06AD" w:rsidRDefault="00BF06AD" w:rsidP="00BF06AD">
      <w:pPr>
        <w:widowControl w:val="0"/>
        <w:spacing w:before="10"/>
        <w:rPr>
          <w:rFonts w:ascii="Arial" w:eastAsia="Arial" w:hAnsi="Arial" w:cs="Arial"/>
          <w:sz w:val="22"/>
          <w:szCs w:val="22"/>
          <w:lang w:val="en-US"/>
        </w:rPr>
      </w:pPr>
    </w:p>
    <w:p w14:paraId="7A3AD1C0" w14:textId="77777777" w:rsidR="00BF06AD" w:rsidRPr="00BF06AD" w:rsidRDefault="00BF06AD" w:rsidP="00BF06AD">
      <w:pPr>
        <w:widowControl w:val="0"/>
        <w:spacing w:before="10"/>
        <w:rPr>
          <w:rFonts w:ascii="Arial" w:eastAsia="Arial" w:hAnsi="Arial" w:cs="Arial"/>
          <w:sz w:val="22"/>
          <w:szCs w:val="22"/>
          <w:lang w:val="en-US"/>
        </w:rPr>
      </w:pPr>
    </w:p>
    <w:p w14:paraId="3D8DB307" w14:textId="10822442" w:rsidR="00BF06AD" w:rsidRPr="00BF06AD" w:rsidRDefault="004C426A" w:rsidP="00BF06AD">
      <w:pPr>
        <w:widowControl w:val="0"/>
        <w:spacing w:before="60"/>
        <w:jc w:val="center"/>
        <w:rPr>
          <w:rFonts w:ascii="Arial" w:eastAsia="Arial" w:hAnsi="Arial" w:cs="Arial"/>
          <w:b/>
          <w:sz w:val="32"/>
          <w:szCs w:val="32"/>
          <w:lang w:val="en-US"/>
        </w:rPr>
      </w:pPr>
      <w:r w:rsidRPr="004C426A">
        <w:rPr>
          <w:rFonts w:ascii="Arial" w:eastAsia="Arial" w:hAnsi="Arial" w:cs="Arial"/>
          <w:b/>
          <w:sz w:val="32"/>
          <w:szCs w:val="32"/>
          <w:lang w:val="en-US"/>
        </w:rPr>
        <w:t xml:space="preserve">BUYING AND SELLING A </w:t>
      </w:r>
      <w:r w:rsidR="00F50F09">
        <w:rPr>
          <w:rFonts w:ascii="Arial" w:eastAsia="Arial" w:hAnsi="Arial" w:cs="Arial"/>
          <w:b/>
          <w:sz w:val="32"/>
          <w:szCs w:val="32"/>
          <w:lang w:val="en-US"/>
        </w:rPr>
        <w:t xml:space="preserve">UNIT </w:t>
      </w:r>
      <w:r w:rsidRPr="004C426A">
        <w:rPr>
          <w:rFonts w:ascii="Arial" w:eastAsia="Arial" w:hAnsi="Arial" w:cs="Arial"/>
          <w:b/>
          <w:sz w:val="32"/>
          <w:szCs w:val="32"/>
          <w:lang w:val="en-US"/>
        </w:rPr>
        <w:t>FRANCHISE</w:t>
      </w:r>
      <w:r w:rsidR="00F50F09">
        <w:rPr>
          <w:rStyle w:val="FootnoteReference"/>
          <w:rFonts w:ascii="Arial" w:eastAsia="Arial" w:hAnsi="Arial" w:cs="Arial"/>
          <w:b/>
          <w:sz w:val="32"/>
          <w:szCs w:val="32"/>
          <w:lang w:val="en-US"/>
        </w:rPr>
        <w:footnoteReference w:id="1"/>
      </w:r>
      <w:r w:rsidR="00BF06AD" w:rsidRPr="00BF06AD">
        <w:rPr>
          <w:rFonts w:ascii="Arial" w:eastAsia="Arial" w:hAnsi="Arial" w:cs="Arial"/>
          <w:b/>
          <w:sz w:val="32"/>
          <w:szCs w:val="32"/>
          <w:lang w:val="en-US"/>
        </w:rPr>
        <w:t xml:space="preserve"> </w:t>
      </w:r>
    </w:p>
    <w:p w14:paraId="0019EC30" w14:textId="77777777" w:rsidR="00BF06AD" w:rsidRPr="00BF06AD" w:rsidRDefault="00BF06AD" w:rsidP="00BF06AD">
      <w:pPr>
        <w:widowControl w:val="0"/>
        <w:rPr>
          <w:rFonts w:ascii="Arial" w:eastAsia="Arial" w:hAnsi="Arial" w:cs="Arial"/>
          <w:sz w:val="22"/>
          <w:szCs w:val="22"/>
          <w:highlight w:val="yellow"/>
          <w:lang w:val="en-US"/>
        </w:rPr>
      </w:pPr>
    </w:p>
    <w:p w14:paraId="7D869C57" w14:textId="77777777" w:rsidR="00BF06AD" w:rsidRPr="00BF06AD" w:rsidRDefault="00BF06AD" w:rsidP="00BF06AD">
      <w:pPr>
        <w:widowControl w:val="0"/>
        <w:rPr>
          <w:rFonts w:ascii="Arial" w:eastAsia="Arial" w:hAnsi="Arial" w:cs="Arial"/>
          <w:sz w:val="22"/>
          <w:szCs w:val="22"/>
          <w:highlight w:val="yellow"/>
          <w:lang w:val="en-US"/>
        </w:rPr>
      </w:pPr>
    </w:p>
    <w:p w14:paraId="3028AA92" w14:textId="77777777" w:rsidR="00BF06AD" w:rsidRPr="00BF06AD" w:rsidRDefault="00BF06AD" w:rsidP="00BF06AD">
      <w:pPr>
        <w:widowControl w:val="0"/>
        <w:rPr>
          <w:rFonts w:ascii="Arial" w:eastAsia="Arial" w:hAnsi="Arial" w:cs="Arial"/>
          <w:sz w:val="22"/>
          <w:szCs w:val="22"/>
          <w:highlight w:val="yellow"/>
          <w:lang w:val="en-US"/>
        </w:rPr>
      </w:pPr>
    </w:p>
    <w:p w14:paraId="232478FC" w14:textId="3839965C" w:rsidR="00BF06AD" w:rsidRPr="00BF06AD" w:rsidRDefault="004C426A" w:rsidP="00BF06AD">
      <w:pPr>
        <w:widowControl w:val="0"/>
        <w:jc w:val="center"/>
        <w:rPr>
          <w:rFonts w:ascii="Arial" w:eastAsia="Arial" w:hAnsi="Arial" w:cs="Arial"/>
          <w:b/>
          <w:sz w:val="28"/>
          <w:szCs w:val="28"/>
          <w:lang w:val="en-US"/>
        </w:rPr>
      </w:pPr>
      <w:r w:rsidRPr="004C426A">
        <w:rPr>
          <w:rFonts w:ascii="Arial" w:eastAsia="Arial" w:hAnsi="Arial" w:cs="Arial"/>
          <w:b/>
          <w:sz w:val="28"/>
          <w:szCs w:val="28"/>
          <w:lang w:val="en-US"/>
        </w:rPr>
        <w:t>Christine Jackson, Senior Associate</w:t>
      </w:r>
      <w:r w:rsidR="00F50F09">
        <w:rPr>
          <w:rStyle w:val="FootnoteReference"/>
          <w:rFonts w:ascii="Arial" w:eastAsia="Arial" w:hAnsi="Arial" w:cs="Arial"/>
          <w:b/>
          <w:sz w:val="28"/>
          <w:szCs w:val="28"/>
          <w:lang w:val="en-US"/>
        </w:rPr>
        <w:footnoteReference w:id="2"/>
      </w:r>
    </w:p>
    <w:p w14:paraId="49421C23" w14:textId="77777777" w:rsidR="00BF06AD" w:rsidRPr="00BF06AD" w:rsidRDefault="004C426A" w:rsidP="00BF06AD">
      <w:pPr>
        <w:widowControl w:val="0"/>
        <w:jc w:val="center"/>
        <w:rPr>
          <w:rFonts w:ascii="Arial" w:eastAsia="Arial" w:hAnsi="Arial" w:cs="Arial"/>
          <w:b/>
          <w:sz w:val="28"/>
          <w:szCs w:val="28"/>
          <w:lang w:val="en-US"/>
        </w:rPr>
      </w:pPr>
      <w:r w:rsidRPr="004C426A">
        <w:rPr>
          <w:rFonts w:ascii="Arial" w:eastAsia="Arial" w:hAnsi="Arial" w:cs="Arial"/>
          <w:b/>
          <w:sz w:val="28"/>
          <w:szCs w:val="28"/>
          <w:lang w:val="en-US"/>
        </w:rPr>
        <w:t>Osler, Hoskin &amp; Harcourt LLP</w:t>
      </w:r>
    </w:p>
    <w:p w14:paraId="083E3439" w14:textId="77777777" w:rsidR="00BF06AD" w:rsidRDefault="00BF06AD" w:rsidP="00BF06AD">
      <w:pPr>
        <w:widowControl w:val="0"/>
        <w:jc w:val="center"/>
        <w:rPr>
          <w:rFonts w:ascii="Arial" w:eastAsia="Arial" w:hAnsi="Arial" w:cs="Arial"/>
          <w:b/>
          <w:sz w:val="28"/>
          <w:szCs w:val="28"/>
          <w:lang w:val="en-US"/>
        </w:rPr>
      </w:pPr>
    </w:p>
    <w:p w14:paraId="55662973" w14:textId="77777777" w:rsidR="00B03B59" w:rsidRPr="00B03B59" w:rsidRDefault="00B03B59" w:rsidP="00B03B59">
      <w:pPr>
        <w:widowControl w:val="0"/>
        <w:jc w:val="center"/>
        <w:rPr>
          <w:rFonts w:ascii="Arial" w:eastAsia="Arial" w:hAnsi="Arial" w:cs="Arial"/>
          <w:b/>
          <w:sz w:val="28"/>
          <w:szCs w:val="28"/>
          <w:lang w:val="en-US"/>
        </w:rPr>
      </w:pPr>
      <w:r w:rsidRPr="00B03B59">
        <w:rPr>
          <w:rFonts w:ascii="Arial" w:eastAsia="Arial" w:hAnsi="Arial" w:cs="Arial"/>
          <w:b/>
          <w:sz w:val="28"/>
          <w:szCs w:val="28"/>
          <w:lang w:val="en-US"/>
        </w:rPr>
        <w:t>and</w:t>
      </w:r>
    </w:p>
    <w:p w14:paraId="4B510A33" w14:textId="77777777" w:rsidR="00B03B59" w:rsidRPr="00B03B59" w:rsidRDefault="00B03B59" w:rsidP="00B03B59">
      <w:pPr>
        <w:widowControl w:val="0"/>
        <w:jc w:val="center"/>
        <w:rPr>
          <w:rFonts w:ascii="Arial" w:eastAsia="Arial" w:hAnsi="Arial" w:cs="Arial"/>
          <w:b/>
          <w:sz w:val="28"/>
          <w:szCs w:val="28"/>
          <w:lang w:val="en-US"/>
        </w:rPr>
      </w:pPr>
    </w:p>
    <w:p w14:paraId="7F01362B" w14:textId="3D828ADB" w:rsidR="00B03B59" w:rsidRDefault="00B03B59" w:rsidP="00B03B59">
      <w:pPr>
        <w:widowControl w:val="0"/>
        <w:jc w:val="center"/>
        <w:rPr>
          <w:rFonts w:ascii="Arial" w:eastAsia="Arial" w:hAnsi="Arial" w:cs="Arial"/>
          <w:b/>
          <w:sz w:val="28"/>
          <w:szCs w:val="28"/>
          <w:lang w:val="en-US"/>
        </w:rPr>
      </w:pPr>
      <w:r>
        <w:rPr>
          <w:rFonts w:ascii="Arial" w:eastAsia="Arial" w:hAnsi="Arial" w:cs="Arial"/>
          <w:b/>
          <w:sz w:val="28"/>
          <w:szCs w:val="28"/>
          <w:lang w:val="en-US"/>
        </w:rPr>
        <w:t>Andrae Marrocco, Partner</w:t>
      </w:r>
      <w:r w:rsidR="00F50F09">
        <w:rPr>
          <w:rStyle w:val="FootnoteReference"/>
          <w:rFonts w:ascii="Arial" w:eastAsia="Arial" w:hAnsi="Arial" w:cs="Arial"/>
          <w:b/>
          <w:sz w:val="28"/>
          <w:szCs w:val="28"/>
          <w:lang w:val="en-US"/>
        </w:rPr>
        <w:footnoteReference w:id="3"/>
      </w:r>
    </w:p>
    <w:p w14:paraId="6C88022F" w14:textId="77777777" w:rsidR="00B03B59" w:rsidRPr="00B03B59" w:rsidRDefault="00B03B59" w:rsidP="00B03B59">
      <w:pPr>
        <w:widowControl w:val="0"/>
        <w:jc w:val="center"/>
        <w:rPr>
          <w:rFonts w:ascii="Arial" w:eastAsia="Arial" w:hAnsi="Arial" w:cs="Arial"/>
          <w:b/>
          <w:sz w:val="28"/>
          <w:szCs w:val="28"/>
          <w:lang w:val="en-US"/>
        </w:rPr>
      </w:pPr>
      <w:r>
        <w:rPr>
          <w:rFonts w:ascii="Arial" w:eastAsia="Arial" w:hAnsi="Arial" w:cs="Arial"/>
          <w:b/>
          <w:sz w:val="28"/>
          <w:szCs w:val="28"/>
          <w:lang w:val="en-US"/>
        </w:rPr>
        <w:t xml:space="preserve">Dickson Wright LLP </w:t>
      </w:r>
    </w:p>
    <w:p w14:paraId="38C8BAF0" w14:textId="77777777" w:rsidR="004C426A" w:rsidRDefault="004C426A" w:rsidP="00BF06AD">
      <w:pPr>
        <w:widowControl w:val="0"/>
        <w:jc w:val="center"/>
        <w:rPr>
          <w:rFonts w:ascii="Arial" w:eastAsia="Arial" w:hAnsi="Arial" w:cs="Arial"/>
          <w:b/>
          <w:sz w:val="28"/>
          <w:szCs w:val="28"/>
          <w:lang w:val="en-US"/>
        </w:rPr>
      </w:pPr>
    </w:p>
    <w:p w14:paraId="07B85864" w14:textId="77777777" w:rsidR="00B03B59" w:rsidRDefault="00B03B59" w:rsidP="00BF06AD">
      <w:pPr>
        <w:widowControl w:val="0"/>
        <w:jc w:val="center"/>
        <w:rPr>
          <w:rFonts w:ascii="Arial" w:eastAsia="Arial" w:hAnsi="Arial" w:cs="Arial"/>
          <w:b/>
          <w:sz w:val="28"/>
          <w:szCs w:val="28"/>
          <w:lang w:val="en-US"/>
        </w:rPr>
      </w:pPr>
    </w:p>
    <w:p w14:paraId="4623A794" w14:textId="77777777" w:rsidR="00B03B59" w:rsidRDefault="00B03B59" w:rsidP="00BF06AD">
      <w:pPr>
        <w:widowControl w:val="0"/>
        <w:jc w:val="center"/>
        <w:rPr>
          <w:rFonts w:ascii="Arial" w:eastAsia="Arial" w:hAnsi="Arial" w:cs="Arial"/>
          <w:b/>
          <w:sz w:val="28"/>
          <w:szCs w:val="28"/>
          <w:lang w:val="en-US"/>
        </w:rPr>
      </w:pPr>
    </w:p>
    <w:p w14:paraId="1F9A2B54" w14:textId="77777777" w:rsidR="00BF06AD" w:rsidRPr="00BF06AD" w:rsidRDefault="00BF06AD" w:rsidP="00BF06AD">
      <w:pPr>
        <w:widowControl w:val="0"/>
        <w:rPr>
          <w:rFonts w:ascii="Arial" w:eastAsia="Arial" w:hAnsi="Arial" w:cs="Arial"/>
          <w:sz w:val="22"/>
          <w:szCs w:val="22"/>
          <w:lang w:val="en-US"/>
        </w:rPr>
      </w:pPr>
    </w:p>
    <w:p w14:paraId="787D029D" w14:textId="77777777" w:rsidR="00BF06AD" w:rsidRPr="00BF06AD" w:rsidRDefault="00BF06AD" w:rsidP="00BF06AD">
      <w:pPr>
        <w:widowControl w:val="0"/>
        <w:rPr>
          <w:rFonts w:ascii="Arial" w:eastAsia="Arial" w:hAnsi="Arial" w:cs="Arial"/>
          <w:sz w:val="22"/>
          <w:szCs w:val="22"/>
          <w:lang w:val="en-US"/>
        </w:rPr>
      </w:pPr>
    </w:p>
    <w:p w14:paraId="6EDA3DB7" w14:textId="77777777" w:rsidR="00BF06AD" w:rsidRPr="00BF06AD" w:rsidRDefault="00BF06AD" w:rsidP="00BF06AD">
      <w:pPr>
        <w:widowControl w:val="0"/>
        <w:rPr>
          <w:rFonts w:ascii="Arial" w:eastAsia="Arial" w:hAnsi="Arial" w:cs="Arial"/>
          <w:sz w:val="22"/>
          <w:szCs w:val="22"/>
          <w:lang w:val="en-US"/>
        </w:rPr>
      </w:pPr>
    </w:p>
    <w:p w14:paraId="457E78E9" w14:textId="77777777" w:rsidR="00BF06AD" w:rsidRPr="00BF06AD" w:rsidRDefault="00BF06AD" w:rsidP="00BF06AD">
      <w:pPr>
        <w:widowControl w:val="0"/>
        <w:rPr>
          <w:rFonts w:ascii="Arial" w:eastAsia="Arial" w:hAnsi="Arial" w:cs="Arial"/>
          <w:sz w:val="22"/>
          <w:szCs w:val="22"/>
          <w:lang w:val="en-US"/>
        </w:rPr>
      </w:pPr>
    </w:p>
    <w:p w14:paraId="1FF15DFC" w14:textId="77777777" w:rsidR="00BF06AD" w:rsidRPr="00BF06AD" w:rsidRDefault="00BF06AD" w:rsidP="00BF06AD">
      <w:pPr>
        <w:widowControl w:val="0"/>
        <w:rPr>
          <w:rFonts w:ascii="Arial" w:eastAsia="Arial" w:hAnsi="Arial" w:cs="Arial"/>
          <w:sz w:val="22"/>
          <w:szCs w:val="22"/>
          <w:lang w:val="en-US"/>
        </w:rPr>
      </w:pPr>
    </w:p>
    <w:p w14:paraId="09AF5023" w14:textId="77777777" w:rsidR="00BF06AD" w:rsidRPr="00BF06AD" w:rsidRDefault="00BF06AD" w:rsidP="00BF06AD">
      <w:pPr>
        <w:widowControl w:val="0"/>
        <w:spacing w:before="6"/>
        <w:rPr>
          <w:rFonts w:ascii="Arial" w:eastAsia="Arial" w:hAnsi="Arial" w:cs="Arial"/>
          <w:sz w:val="22"/>
          <w:szCs w:val="22"/>
          <w:lang w:val="en-US"/>
        </w:rPr>
      </w:pPr>
    </w:p>
    <w:p w14:paraId="25A1FC0C" w14:textId="77777777" w:rsidR="00BF06AD" w:rsidRPr="00BF06AD" w:rsidRDefault="004C426A" w:rsidP="00BF06AD">
      <w:pPr>
        <w:widowControl w:val="0"/>
        <w:jc w:val="center"/>
        <w:rPr>
          <w:rFonts w:ascii="Arial" w:eastAsia="Arial" w:hAnsi="Arial" w:cs="Arial"/>
          <w:szCs w:val="24"/>
          <w:lang w:val="en-US"/>
        </w:rPr>
      </w:pPr>
      <w:r>
        <w:rPr>
          <w:rFonts w:ascii="Arial" w:eastAsia="Arial" w:hAnsi="Arial" w:cs="Arial"/>
          <w:szCs w:val="24"/>
          <w:lang w:val="en-US"/>
        </w:rPr>
        <w:t>February 8, 2017</w:t>
      </w:r>
    </w:p>
    <w:p w14:paraId="524F2E14" w14:textId="77777777" w:rsidR="00BF06AD" w:rsidRPr="00BF06AD" w:rsidRDefault="00BF06AD" w:rsidP="00BF06AD">
      <w:pPr>
        <w:widowControl w:val="0"/>
        <w:rPr>
          <w:rFonts w:ascii="Arial" w:eastAsia="Arial" w:hAnsi="Arial" w:cs="Arial"/>
          <w:sz w:val="22"/>
          <w:szCs w:val="22"/>
          <w:lang w:val="en-US"/>
        </w:rPr>
      </w:pPr>
    </w:p>
    <w:p w14:paraId="42A78750" w14:textId="77777777" w:rsidR="00BF06AD" w:rsidRPr="00BF06AD" w:rsidRDefault="00BF06AD" w:rsidP="00BF06AD">
      <w:pPr>
        <w:widowControl w:val="0"/>
        <w:rPr>
          <w:rFonts w:ascii="Arial" w:eastAsia="Arial" w:hAnsi="Arial" w:cs="Arial"/>
          <w:sz w:val="22"/>
          <w:szCs w:val="22"/>
          <w:lang w:val="en-US"/>
        </w:rPr>
      </w:pPr>
    </w:p>
    <w:p w14:paraId="2FFEDDEE" w14:textId="77777777" w:rsidR="00BF06AD" w:rsidRPr="00BF06AD" w:rsidRDefault="00BF06AD" w:rsidP="00BF06AD">
      <w:pPr>
        <w:widowControl w:val="0"/>
        <w:rPr>
          <w:rFonts w:ascii="Arial" w:eastAsia="Arial" w:hAnsi="Arial" w:cs="Arial"/>
          <w:sz w:val="22"/>
          <w:szCs w:val="22"/>
          <w:lang w:val="en-US"/>
        </w:rPr>
      </w:pPr>
      <w:r w:rsidRPr="00BF06AD">
        <w:rPr>
          <w:rFonts w:ascii="Arial" w:eastAsia="Arial" w:hAnsi="Arial" w:cs="Arial"/>
          <w:noProof/>
          <w:sz w:val="22"/>
          <w:szCs w:val="22"/>
          <w:lang w:eastAsia="en-CA"/>
        </w:rPr>
        <mc:AlternateContent>
          <mc:Choice Requires="wps">
            <w:drawing>
              <wp:anchor distT="0" distB="0" distL="0" distR="0" simplePos="0" relativeHeight="251660288" behindDoc="0" locked="0" layoutInCell="1" allowOverlap="1" wp14:anchorId="14E430E7" wp14:editId="1134C751">
                <wp:simplePos x="0" y="0"/>
                <wp:positionH relativeFrom="page">
                  <wp:posOffset>1600200</wp:posOffset>
                </wp:positionH>
                <wp:positionV relativeFrom="paragraph">
                  <wp:posOffset>158115</wp:posOffset>
                </wp:positionV>
                <wp:extent cx="4572000" cy="0"/>
                <wp:effectExtent l="9525" t="15240" r="9525" b="1333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8CA0B" id="Straight Connector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pt,12.45pt" to="48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" strokeweight="1pt">
                <w10:wrap type="topAndBottom" anchorx="page"/>
              </v:line>
            </w:pict>
          </mc:Fallback>
        </mc:AlternateContent>
      </w:r>
    </w:p>
    <w:p w14:paraId="5F94D371" w14:textId="77777777" w:rsidR="004D4730" w:rsidRDefault="004D4730">
      <w:pPr>
        <w:rPr>
          <w:rFonts w:ascii="Arial" w:hAnsi="Arial" w:cs="Arial"/>
        </w:rPr>
      </w:pPr>
      <w:r>
        <w:rPr>
          <w:rFonts w:ascii="Arial" w:hAnsi="Arial" w:cs="Arial"/>
        </w:rPr>
        <w:br w:type="page"/>
      </w:r>
    </w:p>
    <w:p w14:paraId="6B808A0A" w14:textId="3CE3247F" w:rsidR="00127884" w:rsidRDefault="0037317D" w:rsidP="0037317D">
      <w:pPr>
        <w:pStyle w:val="OHHpara"/>
        <w:spacing w:after="0" w:line="480" w:lineRule="auto"/>
        <w:contextualSpacing/>
        <w:rPr>
          <w:rFonts w:ascii="Arial" w:hAnsi="Arial" w:cs="Arial"/>
          <w:b/>
          <w:sz w:val="22"/>
          <w:szCs w:val="22"/>
        </w:rPr>
      </w:pPr>
      <w:r>
        <w:rPr>
          <w:rFonts w:ascii="Arial" w:hAnsi="Arial" w:cs="Arial"/>
          <w:b/>
          <w:sz w:val="22"/>
          <w:szCs w:val="22"/>
        </w:rPr>
        <w:lastRenderedPageBreak/>
        <w:t>1.</w:t>
      </w:r>
      <w:r>
        <w:rPr>
          <w:rFonts w:ascii="Arial" w:hAnsi="Arial" w:cs="Arial"/>
          <w:b/>
          <w:sz w:val="22"/>
          <w:szCs w:val="22"/>
        </w:rPr>
        <w:tab/>
      </w:r>
      <w:r w:rsidR="00014C1C">
        <w:rPr>
          <w:rFonts w:ascii="Arial" w:hAnsi="Arial" w:cs="Arial"/>
          <w:b/>
          <w:sz w:val="22"/>
          <w:szCs w:val="22"/>
        </w:rPr>
        <w:t>INTRODUCTION</w:t>
      </w:r>
    </w:p>
    <w:p w14:paraId="7666F053" w14:textId="77777777" w:rsidR="00430FD8" w:rsidRDefault="00430FD8" w:rsidP="00430FD8">
      <w:pPr>
        <w:pStyle w:val="OHHpara"/>
        <w:spacing w:after="960"/>
        <w:contextualSpacing/>
        <w:rPr>
          <w:rFonts w:ascii="Arial" w:hAnsi="Arial" w:cs="Arial"/>
          <w:sz w:val="22"/>
          <w:szCs w:val="22"/>
        </w:rPr>
      </w:pPr>
    </w:p>
    <w:p w14:paraId="5ECA45F1" w14:textId="77777777" w:rsidR="00FE251E" w:rsidRPr="00F95993" w:rsidRDefault="00FE251E" w:rsidP="00505FF5">
      <w:pPr>
        <w:pStyle w:val="OHHpara"/>
        <w:spacing w:after="960" w:line="480" w:lineRule="auto"/>
        <w:contextualSpacing/>
        <w:rPr>
          <w:rFonts w:ascii="Arial" w:hAnsi="Arial" w:cs="Arial"/>
          <w:sz w:val="22"/>
          <w:szCs w:val="22"/>
        </w:rPr>
      </w:pPr>
      <w:r w:rsidRPr="00F95993">
        <w:rPr>
          <w:rFonts w:ascii="Arial" w:hAnsi="Arial" w:cs="Arial"/>
          <w:sz w:val="22"/>
          <w:szCs w:val="22"/>
        </w:rPr>
        <w:t xml:space="preserve">Franchising, as a business model, has existed in Ontario for decades.  Franchising, at its core, is a form of business investment and ownership structure that facilitates the distribution and sale of goods or services. In a franchise, the franchisor generally develops a business system, in association with a trade-mark, and licenses the use of that business system to a franchisee.  The license will typically be for a limited period of time and will require the franchisee to conform the business to the standards of the system and pay some form of consideration. The consideration for a franchise license will usually be a combination of an initial franchise fee and ongoing payments in the nature of royalties, often based on gross sales of the goods and/or services associated with the franchise system. </w:t>
      </w:r>
    </w:p>
    <w:p w14:paraId="1BF06F60" w14:textId="77777777" w:rsidR="00505FF5" w:rsidRDefault="00505FF5" w:rsidP="00505FF5">
      <w:pPr>
        <w:pStyle w:val="OHHpara"/>
        <w:spacing w:after="0"/>
        <w:contextualSpacing/>
        <w:rPr>
          <w:rFonts w:ascii="Arial" w:hAnsi="Arial" w:cs="Arial"/>
          <w:sz w:val="22"/>
          <w:szCs w:val="22"/>
        </w:rPr>
      </w:pPr>
    </w:p>
    <w:p w14:paraId="3D3C825E" w14:textId="393681F1" w:rsidR="0030335E" w:rsidRDefault="00DA5359" w:rsidP="00505FF5">
      <w:pPr>
        <w:pStyle w:val="OHHpara"/>
        <w:spacing w:after="0" w:line="480" w:lineRule="auto"/>
        <w:contextualSpacing/>
        <w:rPr>
          <w:rFonts w:ascii="Arial" w:hAnsi="Arial" w:cs="Arial"/>
          <w:sz w:val="22"/>
          <w:szCs w:val="22"/>
        </w:rPr>
      </w:pPr>
      <w:r>
        <w:rPr>
          <w:rFonts w:ascii="Arial" w:hAnsi="Arial" w:cs="Arial"/>
          <w:sz w:val="22"/>
          <w:szCs w:val="22"/>
        </w:rPr>
        <w:t>T</w:t>
      </w:r>
      <w:r w:rsidR="008431A6">
        <w:rPr>
          <w:rFonts w:ascii="Arial" w:hAnsi="Arial" w:cs="Arial"/>
          <w:sz w:val="22"/>
          <w:szCs w:val="22"/>
        </w:rPr>
        <w:t xml:space="preserve">he </w:t>
      </w:r>
      <w:r>
        <w:rPr>
          <w:rFonts w:ascii="Arial" w:hAnsi="Arial" w:cs="Arial"/>
          <w:sz w:val="22"/>
          <w:szCs w:val="22"/>
        </w:rPr>
        <w:t>emergence</w:t>
      </w:r>
      <w:r w:rsidR="008431A6">
        <w:rPr>
          <w:rFonts w:ascii="Arial" w:hAnsi="Arial" w:cs="Arial"/>
          <w:sz w:val="22"/>
          <w:szCs w:val="22"/>
        </w:rPr>
        <w:t xml:space="preserve"> of the franchise </w:t>
      </w:r>
      <w:r w:rsidR="0097034F">
        <w:rPr>
          <w:rFonts w:ascii="Arial" w:hAnsi="Arial" w:cs="Arial"/>
          <w:sz w:val="22"/>
          <w:szCs w:val="22"/>
        </w:rPr>
        <w:t xml:space="preserve">model </w:t>
      </w:r>
      <w:r w:rsidR="009A01E0">
        <w:rPr>
          <w:rFonts w:ascii="Arial" w:hAnsi="Arial" w:cs="Arial"/>
          <w:sz w:val="22"/>
          <w:szCs w:val="22"/>
        </w:rPr>
        <w:t>as</w:t>
      </w:r>
      <w:r w:rsidR="009A1BFC">
        <w:rPr>
          <w:rFonts w:ascii="Arial" w:hAnsi="Arial" w:cs="Arial"/>
          <w:sz w:val="22"/>
          <w:szCs w:val="22"/>
        </w:rPr>
        <w:t xml:space="preserve"> a successful form of business</w:t>
      </w:r>
      <w:r w:rsidR="0097034F">
        <w:rPr>
          <w:rFonts w:ascii="Arial" w:hAnsi="Arial" w:cs="Arial"/>
          <w:sz w:val="22"/>
          <w:szCs w:val="22"/>
        </w:rPr>
        <w:t xml:space="preserve"> model</w:t>
      </w:r>
      <w:r w:rsidR="009A01E0">
        <w:rPr>
          <w:rFonts w:ascii="Arial" w:hAnsi="Arial" w:cs="Arial"/>
          <w:sz w:val="22"/>
          <w:szCs w:val="22"/>
        </w:rPr>
        <w:t xml:space="preserve"> in </w:t>
      </w:r>
      <w:r w:rsidR="0097034F">
        <w:rPr>
          <w:rFonts w:ascii="Arial" w:hAnsi="Arial" w:cs="Arial"/>
          <w:sz w:val="22"/>
          <w:szCs w:val="22"/>
        </w:rPr>
        <w:t>Ontario</w:t>
      </w:r>
      <w:r w:rsidR="008431A6">
        <w:rPr>
          <w:rFonts w:ascii="Arial" w:hAnsi="Arial" w:cs="Arial"/>
          <w:sz w:val="22"/>
          <w:szCs w:val="22"/>
        </w:rPr>
        <w:t xml:space="preserve"> has </w:t>
      </w:r>
      <w:r>
        <w:rPr>
          <w:rFonts w:ascii="Arial" w:hAnsi="Arial" w:cs="Arial"/>
          <w:sz w:val="22"/>
          <w:szCs w:val="22"/>
        </w:rPr>
        <w:t xml:space="preserve">also come with </w:t>
      </w:r>
      <w:r w:rsidR="009A01E0">
        <w:rPr>
          <w:rFonts w:ascii="Arial" w:hAnsi="Arial" w:cs="Arial"/>
          <w:sz w:val="22"/>
          <w:szCs w:val="22"/>
        </w:rPr>
        <w:t xml:space="preserve">an increase in </w:t>
      </w:r>
      <w:r w:rsidR="00505FF5">
        <w:rPr>
          <w:rFonts w:ascii="Arial" w:hAnsi="Arial" w:cs="Arial"/>
          <w:sz w:val="22"/>
          <w:szCs w:val="22"/>
        </w:rPr>
        <w:t>franchisee resales</w:t>
      </w:r>
      <w:r w:rsidR="0097034F">
        <w:rPr>
          <w:rFonts w:ascii="Arial" w:hAnsi="Arial" w:cs="Arial"/>
          <w:sz w:val="22"/>
          <w:szCs w:val="22"/>
        </w:rPr>
        <w:t>.</w:t>
      </w:r>
      <w:r w:rsidR="009A01E0">
        <w:rPr>
          <w:rFonts w:ascii="Arial" w:hAnsi="Arial" w:cs="Arial"/>
          <w:sz w:val="22"/>
          <w:szCs w:val="22"/>
        </w:rPr>
        <w:t xml:space="preserve"> </w:t>
      </w:r>
      <w:r w:rsidR="003C7244">
        <w:rPr>
          <w:rFonts w:ascii="Arial" w:hAnsi="Arial" w:cs="Arial"/>
          <w:sz w:val="22"/>
          <w:szCs w:val="22"/>
        </w:rPr>
        <w:t>In a</w:t>
      </w:r>
      <w:r w:rsidR="00505FF5">
        <w:rPr>
          <w:rFonts w:ascii="Arial" w:hAnsi="Arial" w:cs="Arial"/>
          <w:sz w:val="22"/>
          <w:szCs w:val="22"/>
        </w:rPr>
        <w:t xml:space="preserve"> franchisee resale,</w:t>
      </w:r>
      <w:r w:rsidR="0097034F">
        <w:rPr>
          <w:rFonts w:ascii="Arial" w:hAnsi="Arial" w:cs="Arial"/>
          <w:sz w:val="22"/>
          <w:szCs w:val="22"/>
        </w:rPr>
        <w:t xml:space="preserve"> an existing</w:t>
      </w:r>
      <w:r w:rsidR="003C7244">
        <w:rPr>
          <w:rFonts w:ascii="Arial" w:hAnsi="Arial" w:cs="Arial"/>
          <w:sz w:val="22"/>
          <w:szCs w:val="22"/>
        </w:rPr>
        <w:t xml:space="preserve"> </w:t>
      </w:r>
      <w:r w:rsidR="007D5E43">
        <w:rPr>
          <w:rFonts w:ascii="Arial" w:hAnsi="Arial" w:cs="Arial"/>
          <w:sz w:val="22"/>
          <w:szCs w:val="22"/>
        </w:rPr>
        <w:t>franchisee</w:t>
      </w:r>
      <w:r w:rsidR="00505FF5">
        <w:rPr>
          <w:rFonts w:ascii="Arial" w:hAnsi="Arial" w:cs="Arial"/>
          <w:sz w:val="22"/>
          <w:szCs w:val="22"/>
        </w:rPr>
        <w:t xml:space="preserve"> of the franchisor</w:t>
      </w:r>
      <w:r w:rsidR="007D5E43">
        <w:rPr>
          <w:rFonts w:ascii="Arial" w:hAnsi="Arial" w:cs="Arial"/>
          <w:sz w:val="22"/>
          <w:szCs w:val="22"/>
        </w:rPr>
        <w:t xml:space="preserve"> </w:t>
      </w:r>
      <w:r w:rsidR="003C7244">
        <w:rPr>
          <w:rFonts w:ascii="Arial" w:hAnsi="Arial" w:cs="Arial"/>
          <w:sz w:val="22"/>
          <w:szCs w:val="22"/>
        </w:rPr>
        <w:t>is selling</w:t>
      </w:r>
      <w:r w:rsidR="007D5E43">
        <w:rPr>
          <w:rFonts w:ascii="Arial" w:hAnsi="Arial" w:cs="Arial"/>
          <w:sz w:val="22"/>
          <w:szCs w:val="22"/>
        </w:rPr>
        <w:t xml:space="preserve"> </w:t>
      </w:r>
      <w:r w:rsidR="003C7244">
        <w:rPr>
          <w:rFonts w:ascii="Arial" w:hAnsi="Arial" w:cs="Arial"/>
          <w:sz w:val="22"/>
          <w:szCs w:val="22"/>
        </w:rPr>
        <w:t>one or more</w:t>
      </w:r>
      <w:r w:rsidR="007D5E43">
        <w:rPr>
          <w:rFonts w:ascii="Arial" w:hAnsi="Arial" w:cs="Arial"/>
          <w:sz w:val="22"/>
          <w:szCs w:val="22"/>
        </w:rPr>
        <w:t xml:space="preserve"> already </w:t>
      </w:r>
      <w:r w:rsidR="00656EB0">
        <w:rPr>
          <w:rFonts w:ascii="Arial" w:hAnsi="Arial" w:cs="Arial"/>
          <w:sz w:val="22"/>
          <w:szCs w:val="22"/>
        </w:rPr>
        <w:t xml:space="preserve">operational </w:t>
      </w:r>
      <w:r w:rsidR="007D5E43">
        <w:rPr>
          <w:rFonts w:ascii="Arial" w:hAnsi="Arial" w:cs="Arial"/>
          <w:sz w:val="22"/>
          <w:szCs w:val="22"/>
        </w:rPr>
        <w:t>franchise unit</w:t>
      </w:r>
      <w:r w:rsidR="003C7244">
        <w:rPr>
          <w:rFonts w:ascii="Arial" w:hAnsi="Arial" w:cs="Arial"/>
          <w:sz w:val="22"/>
          <w:szCs w:val="22"/>
        </w:rPr>
        <w:t>s</w:t>
      </w:r>
      <w:r w:rsidR="00656EB0">
        <w:rPr>
          <w:rFonts w:ascii="Arial" w:hAnsi="Arial" w:cs="Arial"/>
          <w:sz w:val="22"/>
          <w:szCs w:val="22"/>
        </w:rPr>
        <w:t xml:space="preserve"> to a prospective </w:t>
      </w:r>
      <w:r w:rsidR="003C7244">
        <w:rPr>
          <w:rFonts w:ascii="Arial" w:hAnsi="Arial" w:cs="Arial"/>
          <w:sz w:val="22"/>
          <w:szCs w:val="22"/>
        </w:rPr>
        <w:t xml:space="preserve">purchaser </w:t>
      </w:r>
      <w:r w:rsidR="00505FF5">
        <w:rPr>
          <w:rFonts w:ascii="Arial" w:hAnsi="Arial" w:cs="Arial"/>
          <w:sz w:val="22"/>
          <w:szCs w:val="22"/>
        </w:rPr>
        <w:t>which</w:t>
      </w:r>
      <w:r w:rsidR="003C7244">
        <w:rPr>
          <w:rFonts w:ascii="Arial" w:hAnsi="Arial" w:cs="Arial"/>
          <w:sz w:val="22"/>
          <w:szCs w:val="22"/>
        </w:rPr>
        <w:t xml:space="preserve"> </w:t>
      </w:r>
      <w:r w:rsidR="002C6B60">
        <w:rPr>
          <w:rFonts w:ascii="Arial" w:hAnsi="Arial" w:cs="Arial"/>
          <w:sz w:val="22"/>
          <w:szCs w:val="22"/>
        </w:rPr>
        <w:t>becomes the new</w:t>
      </w:r>
      <w:r w:rsidR="003C7244">
        <w:rPr>
          <w:rFonts w:ascii="Arial" w:hAnsi="Arial" w:cs="Arial"/>
          <w:sz w:val="22"/>
          <w:szCs w:val="22"/>
        </w:rPr>
        <w:t xml:space="preserve"> franchisee</w:t>
      </w:r>
      <w:r w:rsidR="00656EB0">
        <w:rPr>
          <w:rFonts w:ascii="Arial" w:hAnsi="Arial" w:cs="Arial"/>
          <w:sz w:val="22"/>
          <w:szCs w:val="22"/>
        </w:rPr>
        <w:t xml:space="preserve">. </w:t>
      </w:r>
      <w:r w:rsidR="00F50F09">
        <w:rPr>
          <w:rFonts w:ascii="Arial" w:hAnsi="Arial" w:cs="Arial"/>
          <w:sz w:val="22"/>
          <w:szCs w:val="22"/>
        </w:rPr>
        <w:t>If structured properly, a</w:t>
      </w:r>
      <w:r w:rsidR="002C6B60">
        <w:rPr>
          <w:rFonts w:ascii="Arial" w:hAnsi="Arial" w:cs="Arial"/>
          <w:sz w:val="22"/>
          <w:szCs w:val="22"/>
        </w:rPr>
        <w:t xml:space="preserve"> </w:t>
      </w:r>
      <w:r w:rsidR="00505FF5">
        <w:rPr>
          <w:rFonts w:ascii="Arial" w:hAnsi="Arial" w:cs="Arial"/>
          <w:sz w:val="22"/>
          <w:szCs w:val="22"/>
        </w:rPr>
        <w:t>franchisee resale</w:t>
      </w:r>
      <w:r w:rsidR="00E21530">
        <w:rPr>
          <w:rFonts w:ascii="Arial" w:hAnsi="Arial" w:cs="Arial"/>
          <w:sz w:val="22"/>
          <w:szCs w:val="22"/>
        </w:rPr>
        <w:t xml:space="preserve"> can be desirable for</w:t>
      </w:r>
      <w:r w:rsidR="0030335E">
        <w:rPr>
          <w:rFonts w:ascii="Arial" w:hAnsi="Arial" w:cs="Arial"/>
          <w:sz w:val="22"/>
          <w:szCs w:val="22"/>
        </w:rPr>
        <w:t xml:space="preserve"> the </w:t>
      </w:r>
      <w:r w:rsidR="008431A6">
        <w:rPr>
          <w:rFonts w:ascii="Arial" w:hAnsi="Arial" w:cs="Arial"/>
          <w:sz w:val="22"/>
          <w:szCs w:val="22"/>
        </w:rPr>
        <w:t xml:space="preserve">prospective </w:t>
      </w:r>
      <w:r w:rsidR="0030335E">
        <w:rPr>
          <w:rFonts w:ascii="Arial" w:hAnsi="Arial" w:cs="Arial"/>
          <w:sz w:val="22"/>
          <w:szCs w:val="22"/>
        </w:rPr>
        <w:t xml:space="preserve">purchaser, the </w:t>
      </w:r>
      <w:r w:rsidR="0097034F">
        <w:rPr>
          <w:rFonts w:ascii="Arial" w:hAnsi="Arial" w:cs="Arial"/>
          <w:sz w:val="22"/>
          <w:szCs w:val="22"/>
        </w:rPr>
        <w:t xml:space="preserve">existing </w:t>
      </w:r>
      <w:r w:rsidR="0030335E">
        <w:rPr>
          <w:rFonts w:ascii="Arial" w:hAnsi="Arial" w:cs="Arial"/>
          <w:sz w:val="22"/>
          <w:szCs w:val="22"/>
        </w:rPr>
        <w:t>franchisee</w:t>
      </w:r>
      <w:r w:rsidR="00656EB0">
        <w:rPr>
          <w:rFonts w:ascii="Arial" w:hAnsi="Arial" w:cs="Arial"/>
          <w:sz w:val="22"/>
          <w:szCs w:val="22"/>
        </w:rPr>
        <w:t>, and the franchisor.</w:t>
      </w:r>
      <w:r>
        <w:rPr>
          <w:rFonts w:ascii="Arial" w:hAnsi="Arial" w:cs="Arial"/>
          <w:sz w:val="22"/>
          <w:szCs w:val="22"/>
        </w:rPr>
        <w:t xml:space="preserve"> </w:t>
      </w:r>
      <w:r w:rsidR="00936D43">
        <w:rPr>
          <w:rFonts w:ascii="Arial" w:hAnsi="Arial" w:cs="Arial"/>
          <w:sz w:val="22"/>
          <w:szCs w:val="22"/>
        </w:rPr>
        <w:t xml:space="preserve">For example, a </w:t>
      </w:r>
      <w:r w:rsidR="00505FF5">
        <w:rPr>
          <w:rFonts w:ascii="Arial" w:hAnsi="Arial" w:cs="Arial"/>
          <w:sz w:val="22"/>
          <w:szCs w:val="22"/>
        </w:rPr>
        <w:t>franchisee resale</w:t>
      </w:r>
      <w:r w:rsidR="00936D43">
        <w:rPr>
          <w:rFonts w:ascii="Arial" w:hAnsi="Arial" w:cs="Arial"/>
          <w:sz w:val="22"/>
          <w:szCs w:val="22"/>
        </w:rPr>
        <w:t xml:space="preserve"> could result in </w:t>
      </w:r>
      <w:r w:rsidR="00B97312">
        <w:rPr>
          <w:rFonts w:ascii="Arial" w:hAnsi="Arial" w:cs="Arial"/>
          <w:sz w:val="22"/>
          <w:szCs w:val="22"/>
        </w:rPr>
        <w:t>reduced</w:t>
      </w:r>
      <w:r w:rsidR="00E21530">
        <w:rPr>
          <w:rFonts w:ascii="Arial" w:hAnsi="Arial" w:cs="Arial"/>
          <w:sz w:val="22"/>
          <w:szCs w:val="22"/>
        </w:rPr>
        <w:t xml:space="preserve"> start-up costs </w:t>
      </w:r>
      <w:r w:rsidR="00936D43">
        <w:rPr>
          <w:rFonts w:ascii="Arial" w:hAnsi="Arial" w:cs="Arial"/>
          <w:sz w:val="22"/>
          <w:szCs w:val="22"/>
        </w:rPr>
        <w:t>for a purchaser, an opportunity to exit the business for a seller</w:t>
      </w:r>
      <w:r w:rsidR="00614881">
        <w:rPr>
          <w:rFonts w:ascii="Arial" w:hAnsi="Arial" w:cs="Arial"/>
          <w:sz w:val="22"/>
          <w:szCs w:val="22"/>
        </w:rPr>
        <w:t>,</w:t>
      </w:r>
      <w:r w:rsidR="00936D43">
        <w:rPr>
          <w:rFonts w:ascii="Arial" w:hAnsi="Arial" w:cs="Arial"/>
          <w:sz w:val="22"/>
          <w:szCs w:val="22"/>
        </w:rPr>
        <w:t xml:space="preserve"> and a more engaged franchisee for the franchisor. </w:t>
      </w:r>
    </w:p>
    <w:p w14:paraId="1EE39461" w14:textId="77777777" w:rsidR="00505FF5" w:rsidRDefault="00505FF5" w:rsidP="00505FF5">
      <w:pPr>
        <w:pStyle w:val="OHHpara"/>
        <w:spacing w:after="0"/>
        <w:contextualSpacing/>
        <w:rPr>
          <w:rFonts w:ascii="Arial" w:hAnsi="Arial" w:cs="Arial"/>
          <w:sz w:val="22"/>
          <w:szCs w:val="22"/>
        </w:rPr>
      </w:pPr>
    </w:p>
    <w:p w14:paraId="556216CE" w14:textId="7BAD09F4" w:rsidR="00656EB0" w:rsidRDefault="00F57E9C" w:rsidP="00505FF5">
      <w:pPr>
        <w:pStyle w:val="OHHpara"/>
        <w:spacing w:after="0" w:line="480" w:lineRule="auto"/>
        <w:contextualSpacing/>
        <w:rPr>
          <w:rFonts w:ascii="Arial" w:hAnsi="Arial" w:cs="Arial"/>
          <w:sz w:val="22"/>
          <w:szCs w:val="22"/>
        </w:rPr>
      </w:pPr>
      <w:r>
        <w:rPr>
          <w:rFonts w:ascii="Arial" w:hAnsi="Arial" w:cs="Arial"/>
          <w:sz w:val="22"/>
          <w:szCs w:val="22"/>
        </w:rPr>
        <w:t xml:space="preserve">Although a </w:t>
      </w:r>
      <w:r w:rsidR="00505FF5">
        <w:rPr>
          <w:rFonts w:ascii="Arial" w:hAnsi="Arial" w:cs="Arial"/>
          <w:sz w:val="22"/>
          <w:szCs w:val="22"/>
        </w:rPr>
        <w:t>franchisee resale</w:t>
      </w:r>
      <w:r w:rsidR="00F26EA6">
        <w:rPr>
          <w:rFonts w:ascii="Arial" w:hAnsi="Arial" w:cs="Arial"/>
          <w:sz w:val="22"/>
          <w:szCs w:val="22"/>
        </w:rPr>
        <w:t xml:space="preserve"> is </w:t>
      </w:r>
      <w:r w:rsidR="00272808">
        <w:rPr>
          <w:rFonts w:ascii="Arial" w:hAnsi="Arial" w:cs="Arial"/>
          <w:sz w:val="22"/>
          <w:szCs w:val="22"/>
        </w:rPr>
        <w:t>similar to</w:t>
      </w:r>
      <w:r>
        <w:rPr>
          <w:rFonts w:ascii="Arial" w:hAnsi="Arial" w:cs="Arial"/>
          <w:sz w:val="22"/>
          <w:szCs w:val="22"/>
        </w:rPr>
        <w:t xml:space="preserve"> any</w:t>
      </w:r>
      <w:r w:rsidR="005306D9">
        <w:rPr>
          <w:rFonts w:ascii="Arial" w:hAnsi="Arial" w:cs="Arial"/>
          <w:sz w:val="22"/>
          <w:szCs w:val="22"/>
        </w:rPr>
        <w:t xml:space="preserve"> bricks-and-mortar</w:t>
      </w:r>
      <w:r>
        <w:rPr>
          <w:rFonts w:ascii="Arial" w:hAnsi="Arial" w:cs="Arial"/>
          <w:sz w:val="22"/>
          <w:szCs w:val="22"/>
        </w:rPr>
        <w:t xml:space="preserve"> asset or share purchase transaction, there are </w:t>
      </w:r>
      <w:r w:rsidR="00E74832">
        <w:rPr>
          <w:rFonts w:ascii="Arial" w:hAnsi="Arial" w:cs="Arial"/>
          <w:sz w:val="22"/>
          <w:szCs w:val="22"/>
        </w:rPr>
        <w:t xml:space="preserve">unique franchise-related </w:t>
      </w:r>
      <w:r>
        <w:rPr>
          <w:rFonts w:ascii="Arial" w:hAnsi="Arial" w:cs="Arial"/>
          <w:sz w:val="22"/>
          <w:szCs w:val="22"/>
        </w:rPr>
        <w:t>considerations</w:t>
      </w:r>
      <w:r w:rsidR="00E74832">
        <w:rPr>
          <w:rFonts w:ascii="Arial" w:hAnsi="Arial" w:cs="Arial"/>
          <w:sz w:val="22"/>
          <w:szCs w:val="22"/>
        </w:rPr>
        <w:t>. This paper wi</w:t>
      </w:r>
      <w:r w:rsidR="001503A6">
        <w:rPr>
          <w:rFonts w:ascii="Arial" w:hAnsi="Arial" w:cs="Arial"/>
          <w:sz w:val="22"/>
          <w:szCs w:val="22"/>
        </w:rPr>
        <w:t xml:space="preserve">ll highlight key </w:t>
      </w:r>
      <w:r w:rsidR="00505FF5">
        <w:rPr>
          <w:rFonts w:ascii="Arial" w:hAnsi="Arial" w:cs="Arial"/>
          <w:sz w:val="22"/>
          <w:szCs w:val="22"/>
        </w:rPr>
        <w:t>considerations</w:t>
      </w:r>
      <w:r w:rsidR="001503A6">
        <w:rPr>
          <w:rFonts w:ascii="Arial" w:hAnsi="Arial" w:cs="Arial"/>
          <w:sz w:val="22"/>
          <w:szCs w:val="22"/>
        </w:rPr>
        <w:t xml:space="preserve"> </w:t>
      </w:r>
      <w:r>
        <w:rPr>
          <w:rFonts w:ascii="Arial" w:hAnsi="Arial" w:cs="Arial"/>
          <w:sz w:val="22"/>
          <w:szCs w:val="22"/>
        </w:rPr>
        <w:t xml:space="preserve">relating to </w:t>
      </w:r>
      <w:r w:rsidR="00505FF5">
        <w:rPr>
          <w:rFonts w:ascii="Arial" w:hAnsi="Arial" w:cs="Arial"/>
          <w:sz w:val="22"/>
          <w:szCs w:val="22"/>
        </w:rPr>
        <w:t>franchisee resales</w:t>
      </w:r>
      <w:r w:rsidR="00B97312">
        <w:rPr>
          <w:rFonts w:ascii="Arial" w:hAnsi="Arial" w:cs="Arial"/>
          <w:sz w:val="22"/>
          <w:szCs w:val="22"/>
        </w:rPr>
        <w:t>, including the regulatory landscape in Ontario,</w:t>
      </w:r>
      <w:r>
        <w:rPr>
          <w:rFonts w:ascii="Arial" w:hAnsi="Arial" w:cs="Arial"/>
          <w:sz w:val="22"/>
          <w:szCs w:val="22"/>
        </w:rPr>
        <w:t xml:space="preserve"> considerations when</w:t>
      </w:r>
      <w:r w:rsidR="00B97312">
        <w:rPr>
          <w:rFonts w:ascii="Arial" w:hAnsi="Arial" w:cs="Arial"/>
          <w:sz w:val="22"/>
          <w:szCs w:val="22"/>
        </w:rPr>
        <w:t xml:space="preserve"> </w:t>
      </w:r>
      <w:r w:rsidR="00B975F3">
        <w:rPr>
          <w:rFonts w:ascii="Arial" w:hAnsi="Arial" w:cs="Arial"/>
          <w:sz w:val="22"/>
          <w:szCs w:val="22"/>
        </w:rPr>
        <w:t>providing</w:t>
      </w:r>
      <w:r w:rsidR="00061393">
        <w:rPr>
          <w:rFonts w:ascii="Arial" w:hAnsi="Arial" w:cs="Arial"/>
          <w:sz w:val="22"/>
          <w:szCs w:val="22"/>
        </w:rPr>
        <w:t xml:space="preserve"> independent legal advice, the franchisor’s role</w:t>
      </w:r>
      <w:r w:rsidR="00505FF5">
        <w:rPr>
          <w:rFonts w:ascii="Arial" w:hAnsi="Arial" w:cs="Arial"/>
          <w:sz w:val="22"/>
          <w:szCs w:val="22"/>
        </w:rPr>
        <w:t xml:space="preserve">, </w:t>
      </w:r>
      <w:r w:rsidR="002264D8">
        <w:rPr>
          <w:rFonts w:ascii="Arial" w:hAnsi="Arial" w:cs="Arial"/>
          <w:sz w:val="22"/>
          <w:szCs w:val="22"/>
        </w:rPr>
        <w:t xml:space="preserve">how to conduct </w:t>
      </w:r>
      <w:r w:rsidR="00061393">
        <w:rPr>
          <w:rFonts w:ascii="Arial" w:hAnsi="Arial" w:cs="Arial"/>
          <w:sz w:val="22"/>
          <w:szCs w:val="22"/>
        </w:rPr>
        <w:t>franchise-specific due diligence, and</w:t>
      </w:r>
      <w:r w:rsidR="002264D8">
        <w:rPr>
          <w:rFonts w:ascii="Arial" w:hAnsi="Arial" w:cs="Arial"/>
          <w:sz w:val="22"/>
          <w:szCs w:val="22"/>
        </w:rPr>
        <w:t xml:space="preserve"> tips for</w:t>
      </w:r>
      <w:r w:rsidR="00B975F3">
        <w:rPr>
          <w:rFonts w:ascii="Arial" w:hAnsi="Arial" w:cs="Arial"/>
          <w:sz w:val="22"/>
          <w:szCs w:val="22"/>
        </w:rPr>
        <w:t xml:space="preserve"> effectively draft</w:t>
      </w:r>
      <w:r w:rsidR="005306D9">
        <w:rPr>
          <w:rFonts w:ascii="Arial" w:hAnsi="Arial" w:cs="Arial"/>
          <w:sz w:val="22"/>
          <w:szCs w:val="22"/>
        </w:rPr>
        <w:t>ing</w:t>
      </w:r>
      <w:r w:rsidR="00B975F3">
        <w:rPr>
          <w:rFonts w:ascii="Arial" w:hAnsi="Arial" w:cs="Arial"/>
          <w:sz w:val="22"/>
          <w:szCs w:val="22"/>
        </w:rPr>
        <w:t xml:space="preserve"> the purchase agreement</w:t>
      </w:r>
      <w:r w:rsidR="00061393">
        <w:rPr>
          <w:rFonts w:ascii="Arial" w:hAnsi="Arial" w:cs="Arial"/>
          <w:sz w:val="22"/>
          <w:szCs w:val="22"/>
        </w:rPr>
        <w:t xml:space="preserve">. </w:t>
      </w:r>
      <w:r w:rsidR="003F5A26">
        <w:rPr>
          <w:rFonts w:ascii="Arial" w:hAnsi="Arial" w:cs="Arial"/>
          <w:sz w:val="22"/>
          <w:szCs w:val="22"/>
        </w:rPr>
        <w:t xml:space="preserve"> </w:t>
      </w:r>
      <w:r w:rsidR="003F5A26">
        <w:rPr>
          <w:rFonts w:ascii="Arial" w:hAnsi="Arial" w:cs="Arial"/>
          <w:sz w:val="22"/>
          <w:szCs w:val="22"/>
        </w:rPr>
        <w:t>This paper is intended to be a summary of certain key issues and considerations in the context of a franchis</w:t>
      </w:r>
      <w:r w:rsidR="003F5A26">
        <w:rPr>
          <w:rFonts w:ascii="Arial" w:hAnsi="Arial" w:cs="Arial"/>
          <w:sz w:val="22"/>
          <w:szCs w:val="22"/>
        </w:rPr>
        <w:t>ee resale.</w:t>
      </w:r>
      <w:r w:rsidR="003F5A26">
        <w:rPr>
          <w:rFonts w:ascii="Arial" w:hAnsi="Arial" w:cs="Arial"/>
          <w:sz w:val="22"/>
          <w:szCs w:val="22"/>
        </w:rPr>
        <w:t xml:space="preserve">  You may encounter additional issues and considerations that are not addressed in this paper.</w:t>
      </w:r>
    </w:p>
    <w:p w14:paraId="2F11C1B1" w14:textId="70FC002A" w:rsidR="00F95993" w:rsidRDefault="0037317D" w:rsidP="0037317D">
      <w:pPr>
        <w:pStyle w:val="OHHpara"/>
        <w:spacing w:after="0" w:line="480" w:lineRule="auto"/>
        <w:contextualSpacing/>
        <w:rPr>
          <w:rFonts w:ascii="Arial" w:hAnsi="Arial" w:cs="Arial"/>
          <w:b/>
          <w:caps/>
          <w:sz w:val="22"/>
          <w:szCs w:val="22"/>
        </w:rPr>
      </w:pPr>
      <w:r>
        <w:rPr>
          <w:rFonts w:ascii="Arial" w:hAnsi="Arial" w:cs="Arial"/>
          <w:b/>
          <w:caps/>
          <w:sz w:val="22"/>
          <w:szCs w:val="22"/>
        </w:rPr>
        <w:lastRenderedPageBreak/>
        <w:t xml:space="preserve">2. </w:t>
      </w:r>
      <w:r>
        <w:rPr>
          <w:rFonts w:ascii="Arial" w:hAnsi="Arial" w:cs="Arial"/>
          <w:b/>
          <w:caps/>
          <w:sz w:val="22"/>
          <w:szCs w:val="22"/>
        </w:rPr>
        <w:tab/>
      </w:r>
      <w:r w:rsidR="00B03B59" w:rsidRPr="00014C1C">
        <w:rPr>
          <w:rFonts w:ascii="Arial" w:hAnsi="Arial" w:cs="Arial"/>
          <w:b/>
          <w:caps/>
          <w:sz w:val="22"/>
          <w:szCs w:val="22"/>
        </w:rPr>
        <w:t>The Regulatory Environment that Governs Franchising in Ontario</w:t>
      </w:r>
    </w:p>
    <w:p w14:paraId="14B3C3FE" w14:textId="77777777" w:rsidR="00430FD8" w:rsidRDefault="00430FD8" w:rsidP="00430FD8">
      <w:pPr>
        <w:pStyle w:val="OHHpara"/>
        <w:contextualSpacing/>
        <w:rPr>
          <w:rFonts w:ascii="Arial" w:hAnsi="Arial" w:cs="Arial"/>
          <w:sz w:val="22"/>
          <w:szCs w:val="22"/>
        </w:rPr>
      </w:pPr>
    </w:p>
    <w:p w14:paraId="5D1C81A2" w14:textId="5E6C740E" w:rsidR="00F95993" w:rsidRPr="00F95993" w:rsidRDefault="00F95993" w:rsidP="00505FF5">
      <w:pPr>
        <w:pStyle w:val="OHHpara"/>
        <w:spacing w:line="480" w:lineRule="auto"/>
        <w:contextualSpacing/>
        <w:rPr>
          <w:rFonts w:ascii="Arial" w:hAnsi="Arial" w:cs="Arial"/>
          <w:sz w:val="22"/>
          <w:szCs w:val="22"/>
        </w:rPr>
      </w:pPr>
      <w:r w:rsidRPr="00F95993">
        <w:rPr>
          <w:rFonts w:ascii="Arial" w:hAnsi="Arial" w:cs="Arial"/>
          <w:sz w:val="22"/>
          <w:szCs w:val="22"/>
        </w:rPr>
        <w:t xml:space="preserve">The franchising business model is regulated in Ontario through the </w:t>
      </w:r>
      <w:r w:rsidR="00406A24" w:rsidRPr="00406A24">
        <w:rPr>
          <w:rFonts w:ascii="Arial" w:hAnsi="Arial" w:cs="Arial"/>
          <w:i/>
          <w:sz w:val="22"/>
          <w:szCs w:val="22"/>
        </w:rPr>
        <w:t>Arthur Wishart Act (Franchise Disclosure), 2000</w:t>
      </w:r>
      <w:r w:rsidRPr="00F95993">
        <w:rPr>
          <w:rFonts w:ascii="Arial" w:hAnsi="Arial" w:cs="Arial"/>
          <w:sz w:val="22"/>
          <w:szCs w:val="22"/>
        </w:rPr>
        <w:t>.</w:t>
      </w:r>
      <w:r w:rsidR="00406A24">
        <w:rPr>
          <w:rStyle w:val="FootnoteReference"/>
          <w:rFonts w:ascii="Arial" w:hAnsi="Arial" w:cs="Arial"/>
          <w:sz w:val="22"/>
          <w:szCs w:val="22"/>
        </w:rPr>
        <w:footnoteReference w:id="4"/>
      </w:r>
      <w:r w:rsidRPr="00F95993">
        <w:rPr>
          <w:rFonts w:ascii="Arial" w:hAnsi="Arial" w:cs="Arial"/>
          <w:sz w:val="22"/>
          <w:szCs w:val="22"/>
        </w:rPr>
        <w:t xml:space="preserve"> </w:t>
      </w:r>
      <w:r w:rsidR="00A6676C">
        <w:rPr>
          <w:rFonts w:ascii="Arial" w:hAnsi="Arial" w:cs="Arial"/>
          <w:sz w:val="22"/>
          <w:szCs w:val="22"/>
        </w:rPr>
        <w:t>While there are nuances in the Act, at a high level</w:t>
      </w:r>
      <w:r w:rsidR="00430FD8">
        <w:rPr>
          <w:rFonts w:ascii="Arial" w:hAnsi="Arial" w:cs="Arial"/>
          <w:sz w:val="22"/>
          <w:szCs w:val="22"/>
        </w:rPr>
        <w:t>,</w:t>
      </w:r>
      <w:r w:rsidR="00A6676C">
        <w:rPr>
          <w:rFonts w:ascii="Arial" w:hAnsi="Arial" w:cs="Arial"/>
          <w:sz w:val="22"/>
          <w:szCs w:val="22"/>
        </w:rPr>
        <w:t xml:space="preserve"> it i</w:t>
      </w:r>
      <w:r w:rsidRPr="00F95993">
        <w:rPr>
          <w:rFonts w:ascii="Arial" w:hAnsi="Arial" w:cs="Arial"/>
          <w:sz w:val="22"/>
          <w:szCs w:val="22"/>
        </w:rPr>
        <w:t xml:space="preserve">mposes a pre-sale disclosure requirement on the franchisor, a </w:t>
      </w:r>
      <w:r w:rsidR="00A6676C">
        <w:rPr>
          <w:rFonts w:ascii="Arial" w:hAnsi="Arial" w:cs="Arial"/>
          <w:sz w:val="22"/>
          <w:szCs w:val="22"/>
        </w:rPr>
        <w:t xml:space="preserve">post-sale </w:t>
      </w:r>
      <w:r w:rsidRPr="00F95993">
        <w:rPr>
          <w:rFonts w:ascii="Arial" w:hAnsi="Arial" w:cs="Arial"/>
          <w:sz w:val="22"/>
          <w:szCs w:val="22"/>
        </w:rPr>
        <w:t>duty of good faith and fair dealing</w:t>
      </w:r>
      <w:r w:rsidR="00032D7C">
        <w:rPr>
          <w:rFonts w:ascii="Arial" w:hAnsi="Arial" w:cs="Arial"/>
          <w:sz w:val="22"/>
          <w:szCs w:val="22"/>
        </w:rPr>
        <w:t>,</w:t>
      </w:r>
      <w:r w:rsidRPr="00F95993">
        <w:rPr>
          <w:rFonts w:ascii="Arial" w:hAnsi="Arial" w:cs="Arial"/>
          <w:sz w:val="22"/>
          <w:szCs w:val="22"/>
        </w:rPr>
        <w:t xml:space="preserve"> and a protected right to associate. Failure to comply with any of these obligations gives rise to significant remedies for franchisees. Franchisees cannot contract out of the rights granted to them or grant a waiver of the obligations imposed on franchisors under the</w:t>
      </w:r>
      <w:r w:rsidR="00A6676C">
        <w:rPr>
          <w:rFonts w:ascii="Arial" w:hAnsi="Arial" w:cs="Arial"/>
          <w:sz w:val="22"/>
          <w:szCs w:val="22"/>
        </w:rPr>
        <w:t xml:space="preserve"> Act.</w:t>
      </w:r>
    </w:p>
    <w:p w14:paraId="466C3658" w14:textId="77777777" w:rsidR="00505FF5" w:rsidRDefault="00505FF5" w:rsidP="00505FF5">
      <w:pPr>
        <w:pStyle w:val="OHHpara"/>
        <w:spacing w:after="0"/>
        <w:contextualSpacing/>
        <w:rPr>
          <w:rFonts w:ascii="Arial" w:hAnsi="Arial" w:cs="Arial"/>
          <w:sz w:val="22"/>
          <w:szCs w:val="22"/>
        </w:rPr>
      </w:pPr>
    </w:p>
    <w:p w14:paraId="29A602CA" w14:textId="6F858283" w:rsidR="00B975F3" w:rsidRDefault="00F95993" w:rsidP="00505FF5">
      <w:pPr>
        <w:pStyle w:val="OHHpara"/>
        <w:spacing w:after="0" w:line="480" w:lineRule="auto"/>
        <w:contextualSpacing/>
        <w:rPr>
          <w:rFonts w:ascii="Arial" w:hAnsi="Arial" w:cs="Arial"/>
          <w:sz w:val="22"/>
          <w:szCs w:val="22"/>
        </w:rPr>
      </w:pPr>
      <w:r w:rsidRPr="00F95993">
        <w:rPr>
          <w:rFonts w:ascii="Arial" w:hAnsi="Arial" w:cs="Arial"/>
          <w:sz w:val="22"/>
          <w:szCs w:val="22"/>
        </w:rPr>
        <w:t xml:space="preserve">The Act arose from a perceived imbalance of power between franchisors and franchisees, both in the negotiations </w:t>
      </w:r>
      <w:r w:rsidR="006D4489">
        <w:rPr>
          <w:rFonts w:ascii="Arial" w:hAnsi="Arial" w:cs="Arial"/>
          <w:sz w:val="22"/>
          <w:szCs w:val="22"/>
        </w:rPr>
        <w:t>leading to</w:t>
      </w:r>
      <w:r w:rsidRPr="00F95993">
        <w:rPr>
          <w:rFonts w:ascii="Arial" w:hAnsi="Arial" w:cs="Arial"/>
          <w:sz w:val="22"/>
          <w:szCs w:val="22"/>
        </w:rPr>
        <w:t xml:space="preserve"> a franchise agreement and during the course of the franchisor-franchisee relationship</w:t>
      </w:r>
      <w:r w:rsidR="006D4489">
        <w:rPr>
          <w:rFonts w:ascii="Arial" w:hAnsi="Arial" w:cs="Arial"/>
          <w:sz w:val="22"/>
          <w:szCs w:val="22"/>
        </w:rPr>
        <w:t>.</w:t>
      </w:r>
      <w:r w:rsidR="00505FF5">
        <w:rPr>
          <w:rFonts w:ascii="Arial" w:hAnsi="Arial" w:cs="Arial"/>
          <w:sz w:val="22"/>
          <w:szCs w:val="22"/>
        </w:rPr>
        <w:t xml:space="preserve"> </w:t>
      </w:r>
      <w:r w:rsidR="006D4489">
        <w:rPr>
          <w:rFonts w:ascii="Arial" w:hAnsi="Arial" w:cs="Arial"/>
          <w:sz w:val="22"/>
          <w:szCs w:val="22"/>
        </w:rPr>
        <w:t xml:space="preserve">The Act </w:t>
      </w:r>
      <w:r w:rsidRPr="00F95993">
        <w:rPr>
          <w:rFonts w:ascii="Arial" w:hAnsi="Arial" w:cs="Arial"/>
          <w:sz w:val="22"/>
          <w:szCs w:val="22"/>
        </w:rPr>
        <w:t>is intended to address these perceived informational and bargain</w:t>
      </w:r>
      <w:r w:rsidR="00A6676C">
        <w:rPr>
          <w:rFonts w:ascii="Arial" w:hAnsi="Arial" w:cs="Arial"/>
          <w:sz w:val="22"/>
          <w:szCs w:val="22"/>
        </w:rPr>
        <w:t xml:space="preserve">ing asymmetries.  Although the Act </w:t>
      </w:r>
      <w:r w:rsidRPr="00F95993">
        <w:rPr>
          <w:rFonts w:ascii="Arial" w:hAnsi="Arial" w:cs="Arial"/>
          <w:sz w:val="22"/>
          <w:szCs w:val="22"/>
        </w:rPr>
        <w:t xml:space="preserve">sets out specific requirements governing the franchise relationship, unlike other jurisdictions, </w:t>
      </w:r>
      <w:r w:rsidR="00D1014D">
        <w:rPr>
          <w:rFonts w:ascii="Arial" w:hAnsi="Arial" w:cs="Arial"/>
          <w:sz w:val="22"/>
          <w:szCs w:val="22"/>
        </w:rPr>
        <w:t>such as</w:t>
      </w:r>
      <w:r w:rsidR="00D1014D" w:rsidRPr="00F95993">
        <w:rPr>
          <w:rFonts w:ascii="Arial" w:hAnsi="Arial" w:cs="Arial"/>
          <w:sz w:val="22"/>
          <w:szCs w:val="22"/>
        </w:rPr>
        <w:t xml:space="preserve"> </w:t>
      </w:r>
      <w:r w:rsidRPr="00F95993">
        <w:rPr>
          <w:rFonts w:ascii="Arial" w:hAnsi="Arial" w:cs="Arial"/>
          <w:sz w:val="22"/>
          <w:szCs w:val="22"/>
        </w:rPr>
        <w:t xml:space="preserve">the United States, it does not create a mechanism for regulatory oversight and there is no registration requirement for franchisors or disclosure documents.  Rather, the legislation creates a self-governing system under which franchisees are given private rights of action in the event the franchisor does not comply with its statutory obligations.  </w:t>
      </w:r>
    </w:p>
    <w:p w14:paraId="01AD289D" w14:textId="77777777" w:rsidR="00430FD8" w:rsidRDefault="00430FD8" w:rsidP="00430FD8">
      <w:pPr>
        <w:pStyle w:val="OHHpara"/>
        <w:spacing w:after="0"/>
        <w:contextualSpacing/>
        <w:rPr>
          <w:rFonts w:ascii="Arial" w:hAnsi="Arial" w:cs="Arial"/>
          <w:b/>
          <w:caps/>
          <w:sz w:val="22"/>
          <w:szCs w:val="22"/>
        </w:rPr>
      </w:pPr>
    </w:p>
    <w:p w14:paraId="60C5B82D" w14:textId="7540928C" w:rsidR="00A70DA1" w:rsidRDefault="0037317D" w:rsidP="0037317D">
      <w:pPr>
        <w:pStyle w:val="OHHpara"/>
        <w:spacing w:after="0" w:line="480" w:lineRule="auto"/>
        <w:contextualSpacing/>
        <w:rPr>
          <w:rFonts w:ascii="Arial" w:hAnsi="Arial" w:cs="Arial"/>
          <w:b/>
          <w:caps/>
          <w:sz w:val="22"/>
          <w:szCs w:val="22"/>
        </w:rPr>
      </w:pPr>
      <w:r>
        <w:rPr>
          <w:rFonts w:ascii="Arial" w:hAnsi="Arial" w:cs="Arial"/>
          <w:b/>
          <w:caps/>
          <w:sz w:val="22"/>
          <w:szCs w:val="22"/>
        </w:rPr>
        <w:t>3.</w:t>
      </w:r>
      <w:r>
        <w:rPr>
          <w:rFonts w:ascii="Arial" w:hAnsi="Arial" w:cs="Arial"/>
          <w:b/>
          <w:caps/>
          <w:sz w:val="22"/>
          <w:szCs w:val="22"/>
        </w:rPr>
        <w:tab/>
      </w:r>
      <w:r w:rsidR="00B03B59" w:rsidRPr="00014C1C">
        <w:rPr>
          <w:rFonts w:ascii="Arial" w:hAnsi="Arial" w:cs="Arial"/>
          <w:b/>
          <w:caps/>
          <w:sz w:val="22"/>
          <w:szCs w:val="22"/>
        </w:rPr>
        <w:t xml:space="preserve">Providing Independent Legal Advice on </w:t>
      </w:r>
      <w:r w:rsidR="00505FF5">
        <w:rPr>
          <w:rFonts w:ascii="Arial" w:hAnsi="Arial" w:cs="Arial"/>
          <w:b/>
          <w:caps/>
          <w:sz w:val="22"/>
          <w:szCs w:val="22"/>
        </w:rPr>
        <w:t>Franchisee resale</w:t>
      </w:r>
      <w:r w:rsidR="005D4859">
        <w:rPr>
          <w:rFonts w:ascii="Arial" w:hAnsi="Arial" w:cs="Arial"/>
          <w:b/>
          <w:caps/>
          <w:sz w:val="22"/>
          <w:szCs w:val="22"/>
        </w:rPr>
        <w:t>S</w:t>
      </w:r>
    </w:p>
    <w:p w14:paraId="463CE4C5" w14:textId="77777777" w:rsidR="00430FD8" w:rsidRDefault="00430FD8" w:rsidP="00430FD8">
      <w:pPr>
        <w:pStyle w:val="OHHpara"/>
        <w:spacing w:after="0"/>
        <w:contextualSpacing/>
        <w:rPr>
          <w:rFonts w:ascii="Arial" w:hAnsi="Arial" w:cs="Arial"/>
          <w:b/>
          <w:caps/>
          <w:sz w:val="22"/>
          <w:szCs w:val="22"/>
        </w:rPr>
      </w:pPr>
    </w:p>
    <w:p w14:paraId="15BD484C" w14:textId="1CCED9AB" w:rsidR="00B55FD5" w:rsidRDefault="008B24C7" w:rsidP="00430FD8">
      <w:pPr>
        <w:pStyle w:val="OHHpara"/>
        <w:spacing w:after="0" w:line="480" w:lineRule="auto"/>
        <w:contextualSpacing/>
        <w:rPr>
          <w:rFonts w:ascii="Arial" w:hAnsi="Arial" w:cs="Arial"/>
          <w:sz w:val="22"/>
          <w:szCs w:val="22"/>
        </w:rPr>
      </w:pPr>
      <w:r>
        <w:rPr>
          <w:rFonts w:ascii="Arial" w:hAnsi="Arial" w:cs="Arial"/>
          <w:sz w:val="22"/>
          <w:szCs w:val="22"/>
        </w:rPr>
        <w:t xml:space="preserve">Whether required </w:t>
      </w:r>
      <w:r w:rsidR="006457CF">
        <w:rPr>
          <w:rFonts w:ascii="Arial" w:hAnsi="Arial" w:cs="Arial"/>
          <w:sz w:val="22"/>
          <w:szCs w:val="22"/>
        </w:rPr>
        <w:t xml:space="preserve">by the franchisor </w:t>
      </w:r>
      <w:r>
        <w:rPr>
          <w:rFonts w:ascii="Arial" w:hAnsi="Arial" w:cs="Arial"/>
          <w:sz w:val="22"/>
          <w:szCs w:val="22"/>
        </w:rPr>
        <w:t>or upon the recommendation of a lawyer, t</w:t>
      </w:r>
      <w:r w:rsidR="00B55FD5">
        <w:rPr>
          <w:rFonts w:ascii="Arial" w:hAnsi="Arial" w:cs="Arial"/>
          <w:sz w:val="22"/>
          <w:szCs w:val="22"/>
        </w:rPr>
        <w:t>he</w:t>
      </w:r>
      <w:r w:rsidR="00430FD8">
        <w:rPr>
          <w:rFonts w:ascii="Arial" w:hAnsi="Arial" w:cs="Arial"/>
          <w:sz w:val="22"/>
          <w:szCs w:val="22"/>
        </w:rPr>
        <w:t xml:space="preserve"> prospective</w:t>
      </w:r>
      <w:r w:rsidR="00B55FD5">
        <w:rPr>
          <w:rFonts w:ascii="Arial" w:hAnsi="Arial" w:cs="Arial"/>
          <w:sz w:val="22"/>
          <w:szCs w:val="22"/>
        </w:rPr>
        <w:t xml:space="preserve"> purchaser or the </w:t>
      </w:r>
      <w:r w:rsidR="006457CF">
        <w:rPr>
          <w:rFonts w:ascii="Arial" w:hAnsi="Arial" w:cs="Arial"/>
          <w:sz w:val="22"/>
          <w:szCs w:val="22"/>
        </w:rPr>
        <w:t>existing f</w:t>
      </w:r>
      <w:r w:rsidR="00B55FD5">
        <w:rPr>
          <w:rFonts w:ascii="Arial" w:hAnsi="Arial" w:cs="Arial"/>
          <w:sz w:val="22"/>
          <w:szCs w:val="22"/>
        </w:rPr>
        <w:t xml:space="preserve">ranchisee may </w:t>
      </w:r>
      <w:r>
        <w:rPr>
          <w:rFonts w:ascii="Arial" w:hAnsi="Arial" w:cs="Arial"/>
          <w:sz w:val="22"/>
          <w:szCs w:val="22"/>
        </w:rPr>
        <w:t xml:space="preserve">seek </w:t>
      </w:r>
      <w:r w:rsidR="00B55FD5">
        <w:rPr>
          <w:rFonts w:ascii="Arial" w:hAnsi="Arial" w:cs="Arial"/>
          <w:sz w:val="22"/>
          <w:szCs w:val="22"/>
        </w:rPr>
        <w:t xml:space="preserve">independent legal advice </w:t>
      </w:r>
      <w:r w:rsidR="00430FD8">
        <w:rPr>
          <w:rFonts w:ascii="Arial" w:hAnsi="Arial" w:cs="Arial"/>
          <w:sz w:val="22"/>
          <w:szCs w:val="22"/>
        </w:rPr>
        <w:t>in connection with a franchisee resale</w:t>
      </w:r>
      <w:r w:rsidR="00B55FD5">
        <w:rPr>
          <w:rFonts w:ascii="Arial" w:hAnsi="Arial" w:cs="Arial"/>
          <w:sz w:val="22"/>
          <w:szCs w:val="22"/>
        </w:rPr>
        <w:t xml:space="preserve">. </w:t>
      </w:r>
      <w:r w:rsidR="003542E9">
        <w:rPr>
          <w:rFonts w:ascii="Arial" w:hAnsi="Arial" w:cs="Arial"/>
          <w:sz w:val="22"/>
          <w:szCs w:val="22"/>
        </w:rPr>
        <w:t>Generally, i</w:t>
      </w:r>
      <w:r w:rsidR="00B55FD5">
        <w:rPr>
          <w:rFonts w:ascii="Arial" w:hAnsi="Arial" w:cs="Arial"/>
          <w:sz w:val="22"/>
          <w:szCs w:val="22"/>
        </w:rPr>
        <w:t xml:space="preserve">ndependent legal advice </w:t>
      </w:r>
      <w:r w:rsidR="00266FD1">
        <w:rPr>
          <w:rFonts w:ascii="Arial" w:hAnsi="Arial" w:cs="Arial"/>
          <w:sz w:val="22"/>
          <w:szCs w:val="22"/>
        </w:rPr>
        <w:t>is</w:t>
      </w:r>
      <w:r w:rsidR="00F54527">
        <w:rPr>
          <w:rFonts w:ascii="Arial" w:hAnsi="Arial" w:cs="Arial"/>
          <w:sz w:val="22"/>
          <w:szCs w:val="22"/>
        </w:rPr>
        <w:t xml:space="preserve"> warranted when there is a need to </w:t>
      </w:r>
      <w:r w:rsidR="00CF27C9">
        <w:rPr>
          <w:rFonts w:ascii="Arial" w:hAnsi="Arial" w:cs="Arial"/>
          <w:sz w:val="22"/>
          <w:szCs w:val="22"/>
        </w:rPr>
        <w:t>“</w:t>
      </w:r>
      <w:r w:rsidR="00F54527">
        <w:rPr>
          <w:rFonts w:ascii="Arial" w:hAnsi="Arial" w:cs="Arial"/>
          <w:sz w:val="22"/>
          <w:szCs w:val="22"/>
        </w:rPr>
        <w:t xml:space="preserve">ensure that decisions made by the client are understood and free from any possible </w:t>
      </w:r>
      <w:r w:rsidR="00F54527" w:rsidRPr="00F54527">
        <w:rPr>
          <w:rFonts w:ascii="Arial" w:hAnsi="Arial" w:cs="Arial"/>
          <w:sz w:val="22"/>
          <w:szCs w:val="22"/>
        </w:rPr>
        <w:t xml:space="preserve">improper </w:t>
      </w:r>
      <w:r w:rsidR="00F54527" w:rsidRPr="00F54527">
        <w:rPr>
          <w:rFonts w:ascii="Arial" w:hAnsi="Arial" w:cs="Arial"/>
          <w:sz w:val="22"/>
          <w:szCs w:val="22"/>
        </w:rPr>
        <w:lastRenderedPageBreak/>
        <w:t>influence fro</w:t>
      </w:r>
      <w:r w:rsidR="00F54527">
        <w:rPr>
          <w:rFonts w:ascii="Arial" w:hAnsi="Arial" w:cs="Arial"/>
          <w:sz w:val="22"/>
          <w:szCs w:val="22"/>
        </w:rPr>
        <w:t>m the other contracting parties</w:t>
      </w:r>
      <w:r w:rsidR="00CF27C9">
        <w:rPr>
          <w:rFonts w:ascii="Arial" w:hAnsi="Arial" w:cs="Arial"/>
          <w:sz w:val="22"/>
          <w:szCs w:val="22"/>
        </w:rPr>
        <w:t>.</w:t>
      </w:r>
      <w:r w:rsidR="00F54527">
        <w:rPr>
          <w:rFonts w:ascii="Arial" w:hAnsi="Arial" w:cs="Arial"/>
          <w:sz w:val="22"/>
          <w:szCs w:val="22"/>
        </w:rPr>
        <w:t>”</w:t>
      </w:r>
      <w:r w:rsidR="00CF27C9">
        <w:rPr>
          <w:rStyle w:val="FootnoteReference"/>
          <w:rFonts w:ascii="Arial" w:hAnsi="Arial" w:cs="Arial"/>
          <w:sz w:val="22"/>
          <w:szCs w:val="22"/>
        </w:rPr>
        <w:footnoteReference w:id="5"/>
      </w:r>
      <w:r w:rsidR="00FB4208">
        <w:rPr>
          <w:rFonts w:ascii="Arial" w:hAnsi="Arial" w:cs="Arial"/>
          <w:sz w:val="22"/>
          <w:szCs w:val="22"/>
        </w:rPr>
        <w:t xml:space="preserve"> </w:t>
      </w:r>
      <w:r w:rsidR="00976E2C">
        <w:rPr>
          <w:rFonts w:ascii="Arial" w:hAnsi="Arial" w:cs="Arial"/>
          <w:sz w:val="22"/>
          <w:szCs w:val="22"/>
        </w:rPr>
        <w:t>T</w:t>
      </w:r>
      <w:r w:rsidR="00FB4208">
        <w:rPr>
          <w:rFonts w:ascii="Arial" w:hAnsi="Arial" w:cs="Arial"/>
          <w:sz w:val="22"/>
          <w:szCs w:val="22"/>
        </w:rPr>
        <w:t xml:space="preserve">he need for independent legal advice </w:t>
      </w:r>
      <w:r w:rsidR="00976E2C">
        <w:rPr>
          <w:rFonts w:ascii="Arial" w:hAnsi="Arial" w:cs="Arial"/>
          <w:sz w:val="22"/>
          <w:szCs w:val="22"/>
        </w:rPr>
        <w:t xml:space="preserve">most commonly </w:t>
      </w:r>
      <w:r w:rsidR="00430FD8">
        <w:rPr>
          <w:rFonts w:ascii="Arial" w:hAnsi="Arial" w:cs="Arial"/>
          <w:sz w:val="22"/>
          <w:szCs w:val="22"/>
        </w:rPr>
        <w:t>arises</w:t>
      </w:r>
      <w:r w:rsidR="00FB4208">
        <w:rPr>
          <w:rFonts w:ascii="Arial" w:hAnsi="Arial" w:cs="Arial"/>
          <w:sz w:val="22"/>
          <w:szCs w:val="22"/>
        </w:rPr>
        <w:t xml:space="preserve"> when one party may be at risk of not fully </w:t>
      </w:r>
      <w:r w:rsidR="00C8560D">
        <w:rPr>
          <w:rFonts w:ascii="Arial" w:hAnsi="Arial" w:cs="Arial"/>
          <w:sz w:val="22"/>
          <w:szCs w:val="22"/>
        </w:rPr>
        <w:t>understanding</w:t>
      </w:r>
      <w:r w:rsidR="00FB4208">
        <w:rPr>
          <w:rFonts w:ascii="Arial" w:hAnsi="Arial" w:cs="Arial"/>
          <w:sz w:val="22"/>
          <w:szCs w:val="22"/>
        </w:rPr>
        <w:t xml:space="preserve"> the transaction or its consequences.</w:t>
      </w:r>
      <w:r w:rsidR="00FB4208">
        <w:rPr>
          <w:rStyle w:val="FootnoteReference"/>
          <w:rFonts w:ascii="Arial" w:hAnsi="Arial" w:cs="Arial"/>
          <w:sz w:val="22"/>
          <w:szCs w:val="22"/>
        </w:rPr>
        <w:footnoteReference w:id="6"/>
      </w:r>
      <w:r w:rsidR="00FB4208">
        <w:rPr>
          <w:rFonts w:ascii="Arial" w:hAnsi="Arial" w:cs="Arial"/>
          <w:sz w:val="22"/>
          <w:szCs w:val="22"/>
        </w:rPr>
        <w:t xml:space="preserve"> </w:t>
      </w:r>
      <w:r w:rsidR="00E96204">
        <w:rPr>
          <w:rFonts w:ascii="Arial" w:hAnsi="Arial" w:cs="Arial"/>
          <w:sz w:val="22"/>
          <w:szCs w:val="22"/>
        </w:rPr>
        <w:t xml:space="preserve">Although not required by the Law Society of Upper Canada’s </w:t>
      </w:r>
      <w:r w:rsidR="00E96204" w:rsidRPr="00FB4208">
        <w:rPr>
          <w:rFonts w:ascii="Arial" w:hAnsi="Arial" w:cs="Arial"/>
          <w:i/>
          <w:sz w:val="22"/>
          <w:szCs w:val="22"/>
        </w:rPr>
        <w:t>Rules of Professional Conduct</w:t>
      </w:r>
      <w:r w:rsidR="00E96204">
        <w:rPr>
          <w:rFonts w:ascii="Arial" w:hAnsi="Arial" w:cs="Arial"/>
          <w:i/>
          <w:sz w:val="22"/>
          <w:szCs w:val="22"/>
        </w:rPr>
        <w:t xml:space="preserve">, </w:t>
      </w:r>
      <w:r w:rsidR="006A204A">
        <w:rPr>
          <w:rFonts w:ascii="Arial" w:hAnsi="Arial" w:cs="Arial"/>
          <w:sz w:val="22"/>
          <w:szCs w:val="22"/>
        </w:rPr>
        <w:t xml:space="preserve">the best practice </w:t>
      </w:r>
      <w:r w:rsidR="00CB0FD5">
        <w:rPr>
          <w:rFonts w:ascii="Arial" w:hAnsi="Arial" w:cs="Arial"/>
          <w:sz w:val="22"/>
          <w:szCs w:val="22"/>
        </w:rPr>
        <w:t xml:space="preserve">when </w:t>
      </w:r>
      <w:r w:rsidR="00E96204">
        <w:rPr>
          <w:rFonts w:ascii="Arial" w:hAnsi="Arial" w:cs="Arial"/>
          <w:sz w:val="22"/>
          <w:szCs w:val="22"/>
        </w:rPr>
        <w:t>a lawyer</w:t>
      </w:r>
      <w:r w:rsidR="00CB0FD5">
        <w:rPr>
          <w:rFonts w:ascii="Arial" w:hAnsi="Arial" w:cs="Arial"/>
          <w:sz w:val="22"/>
          <w:szCs w:val="22"/>
        </w:rPr>
        <w:t xml:space="preserve"> is</w:t>
      </w:r>
      <w:r w:rsidR="00E96204">
        <w:rPr>
          <w:rFonts w:ascii="Arial" w:hAnsi="Arial" w:cs="Arial"/>
          <w:sz w:val="22"/>
          <w:szCs w:val="22"/>
        </w:rPr>
        <w:t xml:space="preserve"> acting against a self-represented person is to </w:t>
      </w:r>
      <w:r w:rsidR="00CB0FD5">
        <w:rPr>
          <w:rFonts w:ascii="Arial" w:hAnsi="Arial" w:cs="Arial"/>
          <w:sz w:val="22"/>
          <w:szCs w:val="22"/>
        </w:rPr>
        <w:t>urge</w:t>
      </w:r>
      <w:r w:rsidR="00E96204">
        <w:rPr>
          <w:rFonts w:ascii="Arial" w:hAnsi="Arial" w:cs="Arial"/>
          <w:sz w:val="22"/>
          <w:szCs w:val="22"/>
        </w:rPr>
        <w:t xml:space="preserve"> the unrepresented person to obtain independent legal advice.</w:t>
      </w:r>
      <w:r w:rsidR="00E96204">
        <w:rPr>
          <w:rStyle w:val="FootnoteReference"/>
          <w:rFonts w:ascii="Arial" w:hAnsi="Arial" w:cs="Arial"/>
          <w:sz w:val="22"/>
          <w:szCs w:val="22"/>
        </w:rPr>
        <w:footnoteReference w:id="7"/>
      </w:r>
      <w:r w:rsidR="00E96204">
        <w:rPr>
          <w:rFonts w:ascii="Arial" w:hAnsi="Arial" w:cs="Arial"/>
          <w:sz w:val="22"/>
          <w:szCs w:val="22"/>
        </w:rPr>
        <w:t xml:space="preserve"> </w:t>
      </w:r>
      <w:r w:rsidR="00C0305E">
        <w:rPr>
          <w:rFonts w:ascii="Arial" w:hAnsi="Arial" w:cs="Arial"/>
          <w:sz w:val="22"/>
          <w:szCs w:val="22"/>
        </w:rPr>
        <w:t>In the franchise context,</w:t>
      </w:r>
      <w:r w:rsidR="006A204A">
        <w:rPr>
          <w:rFonts w:ascii="Arial" w:hAnsi="Arial" w:cs="Arial"/>
          <w:sz w:val="22"/>
          <w:szCs w:val="22"/>
        </w:rPr>
        <w:t xml:space="preserve"> </w:t>
      </w:r>
      <w:r w:rsidR="00D25477">
        <w:rPr>
          <w:rFonts w:ascii="Arial" w:hAnsi="Arial" w:cs="Arial"/>
          <w:sz w:val="22"/>
          <w:szCs w:val="22"/>
        </w:rPr>
        <w:t xml:space="preserve">it is not uncommon for </w:t>
      </w:r>
      <w:r w:rsidR="00C0305E">
        <w:rPr>
          <w:rFonts w:ascii="Arial" w:hAnsi="Arial" w:cs="Arial"/>
          <w:sz w:val="22"/>
          <w:szCs w:val="22"/>
        </w:rPr>
        <w:t xml:space="preserve">the </w:t>
      </w:r>
      <w:r w:rsidR="00DE2EF5">
        <w:rPr>
          <w:rFonts w:ascii="Arial" w:hAnsi="Arial" w:cs="Arial"/>
          <w:sz w:val="22"/>
          <w:szCs w:val="22"/>
        </w:rPr>
        <w:t xml:space="preserve">prospective </w:t>
      </w:r>
      <w:r w:rsidR="00505FF5">
        <w:rPr>
          <w:rFonts w:ascii="Arial" w:hAnsi="Arial" w:cs="Arial"/>
          <w:sz w:val="22"/>
          <w:szCs w:val="22"/>
        </w:rPr>
        <w:t>purchaser</w:t>
      </w:r>
      <w:r w:rsidR="008D3314">
        <w:rPr>
          <w:rFonts w:ascii="Arial" w:hAnsi="Arial" w:cs="Arial"/>
          <w:sz w:val="22"/>
          <w:szCs w:val="22"/>
        </w:rPr>
        <w:t xml:space="preserve"> </w:t>
      </w:r>
      <w:r w:rsidR="00C0305E">
        <w:rPr>
          <w:rFonts w:ascii="Arial" w:hAnsi="Arial" w:cs="Arial"/>
          <w:sz w:val="22"/>
          <w:szCs w:val="22"/>
        </w:rPr>
        <w:t xml:space="preserve">and </w:t>
      </w:r>
      <w:r w:rsidR="006457CF">
        <w:rPr>
          <w:rFonts w:ascii="Arial" w:hAnsi="Arial" w:cs="Arial"/>
          <w:sz w:val="22"/>
          <w:szCs w:val="22"/>
        </w:rPr>
        <w:t>existing</w:t>
      </w:r>
      <w:r w:rsidR="00C0305E">
        <w:rPr>
          <w:rFonts w:ascii="Arial" w:hAnsi="Arial" w:cs="Arial"/>
          <w:sz w:val="22"/>
          <w:szCs w:val="22"/>
        </w:rPr>
        <w:t xml:space="preserve"> franchisee </w:t>
      </w:r>
      <w:r w:rsidR="00D25477">
        <w:rPr>
          <w:rFonts w:ascii="Arial" w:hAnsi="Arial" w:cs="Arial"/>
          <w:sz w:val="22"/>
          <w:szCs w:val="22"/>
        </w:rPr>
        <w:t xml:space="preserve">to be </w:t>
      </w:r>
      <w:r w:rsidR="00C0305E">
        <w:rPr>
          <w:rFonts w:ascii="Arial" w:hAnsi="Arial" w:cs="Arial"/>
          <w:sz w:val="22"/>
          <w:szCs w:val="22"/>
        </w:rPr>
        <w:t>unrepresented</w:t>
      </w:r>
      <w:r w:rsidR="00AD377A">
        <w:rPr>
          <w:rFonts w:ascii="Arial" w:hAnsi="Arial" w:cs="Arial"/>
          <w:sz w:val="22"/>
          <w:szCs w:val="22"/>
        </w:rPr>
        <w:t xml:space="preserve"> in </w:t>
      </w:r>
      <w:r w:rsidR="00430FD8">
        <w:rPr>
          <w:rFonts w:ascii="Arial" w:hAnsi="Arial" w:cs="Arial"/>
          <w:sz w:val="22"/>
          <w:szCs w:val="22"/>
        </w:rPr>
        <w:t>a franchisee resale transaction</w:t>
      </w:r>
      <w:r w:rsidR="00D25477">
        <w:rPr>
          <w:rFonts w:ascii="Arial" w:hAnsi="Arial" w:cs="Arial"/>
          <w:sz w:val="22"/>
          <w:szCs w:val="22"/>
        </w:rPr>
        <w:t xml:space="preserve">.  However, as a condition to obtaining the franchisor’s consent to the transaction, the parties may be required to seek out  and obtain </w:t>
      </w:r>
      <w:r w:rsidR="00907223">
        <w:rPr>
          <w:rFonts w:ascii="Arial" w:hAnsi="Arial" w:cs="Arial"/>
          <w:sz w:val="22"/>
          <w:szCs w:val="22"/>
        </w:rPr>
        <w:t>independent legal advice.</w:t>
      </w:r>
      <w:r w:rsidR="00183963">
        <w:rPr>
          <w:rFonts w:ascii="Arial" w:hAnsi="Arial" w:cs="Arial"/>
          <w:sz w:val="22"/>
          <w:szCs w:val="22"/>
        </w:rPr>
        <w:t xml:space="preserve"> </w:t>
      </w:r>
    </w:p>
    <w:p w14:paraId="469D9C94" w14:textId="77777777" w:rsidR="00357973" w:rsidRDefault="00357973" w:rsidP="00430FD8">
      <w:pPr>
        <w:pStyle w:val="OHHpara"/>
        <w:spacing w:after="0"/>
        <w:ind w:firstLine="720"/>
        <w:contextualSpacing/>
        <w:rPr>
          <w:rFonts w:ascii="Arial" w:hAnsi="Arial" w:cs="Arial"/>
          <w:sz w:val="22"/>
          <w:szCs w:val="22"/>
        </w:rPr>
      </w:pPr>
    </w:p>
    <w:p w14:paraId="1039A49D" w14:textId="24238615" w:rsidR="00DF22C3" w:rsidRDefault="00DF22C3" w:rsidP="00430FD8">
      <w:pPr>
        <w:pStyle w:val="OHHpara"/>
        <w:spacing w:after="0"/>
        <w:ind w:left="1440" w:hanging="720"/>
        <w:contextualSpacing/>
        <w:rPr>
          <w:rFonts w:ascii="Arial" w:hAnsi="Arial" w:cs="Arial"/>
          <w:sz w:val="22"/>
          <w:szCs w:val="22"/>
        </w:rPr>
      </w:pPr>
      <w:r>
        <w:rPr>
          <w:rFonts w:ascii="Arial" w:hAnsi="Arial" w:cs="Arial"/>
          <w:b/>
          <w:sz w:val="22"/>
          <w:szCs w:val="22"/>
        </w:rPr>
        <w:t>(a)</w:t>
      </w:r>
      <w:r>
        <w:rPr>
          <w:rFonts w:ascii="Arial" w:hAnsi="Arial" w:cs="Arial"/>
          <w:b/>
          <w:sz w:val="22"/>
          <w:szCs w:val="22"/>
        </w:rPr>
        <w:tab/>
      </w:r>
      <w:r w:rsidR="00450C25">
        <w:rPr>
          <w:rFonts w:ascii="Arial" w:hAnsi="Arial" w:cs="Arial"/>
          <w:b/>
          <w:sz w:val="22"/>
          <w:szCs w:val="22"/>
        </w:rPr>
        <w:t xml:space="preserve">Considerations for </w:t>
      </w:r>
      <w:r w:rsidR="00E323EE">
        <w:rPr>
          <w:rFonts w:ascii="Arial" w:hAnsi="Arial" w:cs="Arial"/>
          <w:b/>
          <w:sz w:val="22"/>
          <w:szCs w:val="22"/>
        </w:rPr>
        <w:t>Providing</w:t>
      </w:r>
      <w:r w:rsidRPr="0037317D">
        <w:rPr>
          <w:rFonts w:ascii="Arial" w:hAnsi="Arial" w:cs="Arial"/>
          <w:b/>
          <w:sz w:val="22"/>
          <w:szCs w:val="22"/>
        </w:rPr>
        <w:t xml:space="preserve"> Independent Legal Advice in the Context of </w:t>
      </w:r>
      <w:r w:rsidR="00430FD8">
        <w:rPr>
          <w:rFonts w:ascii="Arial" w:hAnsi="Arial" w:cs="Arial"/>
          <w:b/>
          <w:sz w:val="22"/>
          <w:szCs w:val="22"/>
        </w:rPr>
        <w:t>Franchisee Resale</w:t>
      </w:r>
    </w:p>
    <w:p w14:paraId="278CBFE5" w14:textId="77777777" w:rsidR="00357973" w:rsidRPr="0037317D" w:rsidRDefault="00357973" w:rsidP="00DF22C3">
      <w:pPr>
        <w:pStyle w:val="OHHpara"/>
        <w:spacing w:after="0" w:line="480" w:lineRule="auto"/>
        <w:ind w:firstLine="720"/>
        <w:contextualSpacing/>
        <w:rPr>
          <w:rFonts w:ascii="Arial" w:hAnsi="Arial" w:cs="Arial"/>
          <w:sz w:val="22"/>
          <w:szCs w:val="22"/>
        </w:rPr>
      </w:pPr>
    </w:p>
    <w:p w14:paraId="76B9F869" w14:textId="3BAA6579" w:rsidR="006C6817" w:rsidRDefault="00DF22C3" w:rsidP="00430FD8">
      <w:pPr>
        <w:pStyle w:val="OHHpara"/>
        <w:spacing w:after="0" w:line="480" w:lineRule="auto"/>
        <w:contextualSpacing/>
        <w:rPr>
          <w:rFonts w:ascii="Arial" w:hAnsi="Arial" w:cs="Arial"/>
          <w:sz w:val="22"/>
          <w:szCs w:val="22"/>
        </w:rPr>
      </w:pPr>
      <w:r>
        <w:rPr>
          <w:rFonts w:ascii="Arial" w:hAnsi="Arial" w:cs="Arial"/>
          <w:sz w:val="22"/>
          <w:szCs w:val="22"/>
        </w:rPr>
        <w:t xml:space="preserve">Although every transaction is different, </w:t>
      </w:r>
      <w:r w:rsidR="00A237D0">
        <w:rPr>
          <w:rFonts w:ascii="Arial" w:hAnsi="Arial" w:cs="Arial"/>
          <w:sz w:val="22"/>
          <w:szCs w:val="22"/>
        </w:rPr>
        <w:t xml:space="preserve">when providing independent </w:t>
      </w:r>
      <w:r w:rsidR="00430FD8">
        <w:rPr>
          <w:rFonts w:ascii="Arial" w:hAnsi="Arial" w:cs="Arial"/>
          <w:sz w:val="22"/>
          <w:szCs w:val="22"/>
        </w:rPr>
        <w:t>legal advice in the context of a franchisee resale</w:t>
      </w:r>
      <w:r w:rsidR="00A237D0">
        <w:rPr>
          <w:rFonts w:ascii="Arial" w:hAnsi="Arial" w:cs="Arial"/>
          <w:sz w:val="22"/>
          <w:szCs w:val="22"/>
        </w:rPr>
        <w:t xml:space="preserve">, there are a number of important matters to be considered and discussed with the client. </w:t>
      </w:r>
      <w:r w:rsidR="004E33D5">
        <w:rPr>
          <w:rFonts w:ascii="Arial" w:hAnsi="Arial" w:cs="Arial"/>
          <w:sz w:val="22"/>
          <w:szCs w:val="22"/>
        </w:rPr>
        <w:t xml:space="preserve"> One of the most important matters that</w:t>
      </w:r>
      <w:r w:rsidR="00A237D0">
        <w:rPr>
          <w:rFonts w:ascii="Arial" w:hAnsi="Arial" w:cs="Arial"/>
          <w:sz w:val="22"/>
          <w:szCs w:val="22"/>
        </w:rPr>
        <w:t xml:space="preserve"> t</w:t>
      </w:r>
      <w:r>
        <w:rPr>
          <w:rFonts w:ascii="Arial" w:hAnsi="Arial" w:cs="Arial"/>
          <w:sz w:val="22"/>
          <w:szCs w:val="22"/>
        </w:rPr>
        <w:t xml:space="preserve">he lawyer should discuss </w:t>
      </w:r>
      <w:r w:rsidR="004E33D5">
        <w:rPr>
          <w:rFonts w:ascii="Arial" w:hAnsi="Arial" w:cs="Arial"/>
          <w:sz w:val="22"/>
          <w:szCs w:val="22"/>
        </w:rPr>
        <w:t>with his</w:t>
      </w:r>
      <w:r w:rsidR="00430FD8">
        <w:rPr>
          <w:rFonts w:ascii="Arial" w:hAnsi="Arial" w:cs="Arial"/>
          <w:sz w:val="22"/>
          <w:szCs w:val="22"/>
        </w:rPr>
        <w:t xml:space="preserve"> or </w:t>
      </w:r>
      <w:r w:rsidR="004E33D5">
        <w:rPr>
          <w:rFonts w:ascii="Arial" w:hAnsi="Arial" w:cs="Arial"/>
          <w:sz w:val="22"/>
          <w:szCs w:val="22"/>
        </w:rPr>
        <w:t xml:space="preserve">her client is </w:t>
      </w:r>
      <w:r>
        <w:rPr>
          <w:rFonts w:ascii="Arial" w:hAnsi="Arial" w:cs="Arial"/>
          <w:sz w:val="22"/>
          <w:szCs w:val="22"/>
        </w:rPr>
        <w:t>the scope and limits of</w:t>
      </w:r>
      <w:r w:rsidR="00A237D0">
        <w:rPr>
          <w:rFonts w:ascii="Arial" w:hAnsi="Arial" w:cs="Arial"/>
          <w:sz w:val="22"/>
          <w:szCs w:val="22"/>
        </w:rPr>
        <w:t xml:space="preserve"> his</w:t>
      </w:r>
      <w:r w:rsidR="00430FD8">
        <w:rPr>
          <w:rFonts w:ascii="Arial" w:hAnsi="Arial" w:cs="Arial"/>
          <w:sz w:val="22"/>
          <w:szCs w:val="22"/>
        </w:rPr>
        <w:t xml:space="preserve"> or </w:t>
      </w:r>
      <w:r w:rsidR="00B94E2F">
        <w:rPr>
          <w:rFonts w:ascii="Arial" w:hAnsi="Arial" w:cs="Arial"/>
          <w:sz w:val="22"/>
          <w:szCs w:val="22"/>
        </w:rPr>
        <w:t>her</w:t>
      </w:r>
      <w:r>
        <w:rPr>
          <w:rFonts w:ascii="Arial" w:hAnsi="Arial" w:cs="Arial"/>
          <w:sz w:val="22"/>
          <w:szCs w:val="22"/>
        </w:rPr>
        <w:t xml:space="preserve"> </w:t>
      </w:r>
      <w:r w:rsidR="00A237D0">
        <w:rPr>
          <w:rFonts w:ascii="Arial" w:hAnsi="Arial" w:cs="Arial"/>
          <w:sz w:val="22"/>
          <w:szCs w:val="22"/>
        </w:rPr>
        <w:t>engagement</w:t>
      </w:r>
      <w:r w:rsidR="004E33D5">
        <w:rPr>
          <w:rFonts w:ascii="Arial" w:hAnsi="Arial" w:cs="Arial"/>
          <w:sz w:val="22"/>
          <w:szCs w:val="22"/>
        </w:rPr>
        <w:t>.  For example,</w:t>
      </w:r>
      <w:r w:rsidR="00F33052">
        <w:rPr>
          <w:rFonts w:ascii="Arial" w:hAnsi="Arial" w:cs="Arial"/>
          <w:sz w:val="22"/>
          <w:szCs w:val="22"/>
        </w:rPr>
        <w:t xml:space="preserve"> the lawyer should discuss with his or her client</w:t>
      </w:r>
      <w:r>
        <w:rPr>
          <w:rFonts w:ascii="Arial" w:hAnsi="Arial" w:cs="Arial"/>
          <w:sz w:val="22"/>
          <w:szCs w:val="22"/>
        </w:rPr>
        <w:t xml:space="preserve"> whether the lawyer</w:t>
      </w:r>
      <w:r w:rsidR="00A237D0">
        <w:rPr>
          <w:rFonts w:ascii="Arial" w:hAnsi="Arial" w:cs="Arial"/>
          <w:sz w:val="22"/>
          <w:szCs w:val="22"/>
        </w:rPr>
        <w:t xml:space="preserve"> will be</w:t>
      </w:r>
      <w:r>
        <w:rPr>
          <w:rFonts w:ascii="Arial" w:hAnsi="Arial" w:cs="Arial"/>
          <w:sz w:val="22"/>
          <w:szCs w:val="22"/>
        </w:rPr>
        <w:t xml:space="preserve"> conduct</w:t>
      </w:r>
      <w:r w:rsidR="00A237D0">
        <w:rPr>
          <w:rFonts w:ascii="Arial" w:hAnsi="Arial" w:cs="Arial"/>
          <w:sz w:val="22"/>
          <w:szCs w:val="22"/>
        </w:rPr>
        <w:t>ing</w:t>
      </w:r>
      <w:r>
        <w:rPr>
          <w:rFonts w:ascii="Arial" w:hAnsi="Arial" w:cs="Arial"/>
          <w:sz w:val="22"/>
          <w:szCs w:val="22"/>
        </w:rPr>
        <w:t xml:space="preserve"> any due diligence, </w:t>
      </w:r>
      <w:r w:rsidR="00B94E2F">
        <w:rPr>
          <w:rFonts w:ascii="Arial" w:hAnsi="Arial" w:cs="Arial"/>
          <w:sz w:val="22"/>
          <w:szCs w:val="22"/>
        </w:rPr>
        <w:t xml:space="preserve">whether the lawyer will </w:t>
      </w:r>
      <w:r w:rsidR="00A237D0">
        <w:rPr>
          <w:rFonts w:ascii="Arial" w:hAnsi="Arial" w:cs="Arial"/>
          <w:sz w:val="22"/>
          <w:szCs w:val="22"/>
        </w:rPr>
        <w:t>r</w:t>
      </w:r>
      <w:r w:rsidR="00B94E2F">
        <w:rPr>
          <w:rFonts w:ascii="Arial" w:hAnsi="Arial" w:cs="Arial"/>
          <w:sz w:val="22"/>
          <w:szCs w:val="22"/>
        </w:rPr>
        <w:t xml:space="preserve">eview the contents of the </w:t>
      </w:r>
      <w:r w:rsidR="00A237D0">
        <w:rPr>
          <w:rFonts w:ascii="Arial" w:hAnsi="Arial" w:cs="Arial"/>
          <w:sz w:val="22"/>
          <w:szCs w:val="22"/>
        </w:rPr>
        <w:t>disclosure documents</w:t>
      </w:r>
      <w:r w:rsidR="00B94E2F">
        <w:rPr>
          <w:rFonts w:ascii="Arial" w:hAnsi="Arial" w:cs="Arial"/>
          <w:sz w:val="22"/>
          <w:szCs w:val="22"/>
        </w:rPr>
        <w:t xml:space="preserve"> to identify any deficiencies, whether the lawyer will consider and/or comment on the commercial terms of the franchise agreement,</w:t>
      </w:r>
      <w:r w:rsidR="00323C36">
        <w:rPr>
          <w:rFonts w:ascii="Arial" w:hAnsi="Arial" w:cs="Arial"/>
          <w:sz w:val="22"/>
          <w:szCs w:val="22"/>
        </w:rPr>
        <w:t xml:space="preserve"> and </w:t>
      </w:r>
      <w:r w:rsidR="00B94E2F">
        <w:rPr>
          <w:rFonts w:ascii="Arial" w:hAnsi="Arial" w:cs="Arial"/>
          <w:sz w:val="22"/>
          <w:szCs w:val="22"/>
        </w:rPr>
        <w:t xml:space="preserve"> whether the lawyer will be reviewing the purchase agreement, etc. </w:t>
      </w:r>
      <w:r>
        <w:rPr>
          <w:rFonts w:ascii="Arial" w:hAnsi="Arial" w:cs="Arial"/>
          <w:sz w:val="22"/>
          <w:szCs w:val="22"/>
        </w:rPr>
        <w:t>Realistically,</w:t>
      </w:r>
      <w:r w:rsidR="00B94E2F">
        <w:rPr>
          <w:rFonts w:ascii="Arial" w:hAnsi="Arial" w:cs="Arial"/>
          <w:sz w:val="22"/>
          <w:szCs w:val="22"/>
        </w:rPr>
        <w:t xml:space="preserve"> where the lawyer has been engaged late in the process to provide independent legal advice on a </w:t>
      </w:r>
      <w:r w:rsidR="00430FD8">
        <w:rPr>
          <w:rFonts w:ascii="Arial" w:hAnsi="Arial" w:cs="Arial"/>
          <w:sz w:val="22"/>
          <w:szCs w:val="22"/>
        </w:rPr>
        <w:t xml:space="preserve">franchisee </w:t>
      </w:r>
      <w:r w:rsidR="00B94E2F">
        <w:rPr>
          <w:rFonts w:ascii="Arial" w:hAnsi="Arial" w:cs="Arial"/>
          <w:sz w:val="22"/>
          <w:szCs w:val="22"/>
        </w:rPr>
        <w:t>resale transaction,</w:t>
      </w:r>
      <w:r>
        <w:rPr>
          <w:rFonts w:ascii="Arial" w:hAnsi="Arial" w:cs="Arial"/>
          <w:sz w:val="22"/>
          <w:szCs w:val="22"/>
        </w:rPr>
        <w:t xml:space="preserve"> the scope of the review will likely be narrow</w:t>
      </w:r>
      <w:r w:rsidR="00B94E2F">
        <w:rPr>
          <w:rFonts w:ascii="Arial" w:hAnsi="Arial" w:cs="Arial"/>
          <w:sz w:val="22"/>
          <w:szCs w:val="22"/>
        </w:rPr>
        <w:t>.  This may be due to the timing of the transaction, the client’s risk tolerance,</w:t>
      </w:r>
      <w:r w:rsidR="00DD62E6">
        <w:rPr>
          <w:rFonts w:ascii="Arial" w:hAnsi="Arial" w:cs="Arial"/>
          <w:sz w:val="22"/>
          <w:szCs w:val="22"/>
        </w:rPr>
        <w:t xml:space="preserve"> or</w:t>
      </w:r>
      <w:r w:rsidR="00B94E2F">
        <w:rPr>
          <w:rFonts w:ascii="Arial" w:hAnsi="Arial" w:cs="Arial"/>
          <w:sz w:val="22"/>
          <w:szCs w:val="22"/>
        </w:rPr>
        <w:t xml:space="preserve"> the client’s budget.</w:t>
      </w:r>
      <w:r>
        <w:rPr>
          <w:rFonts w:ascii="Arial" w:hAnsi="Arial" w:cs="Arial"/>
          <w:sz w:val="22"/>
          <w:szCs w:val="22"/>
        </w:rPr>
        <w:t xml:space="preserve"> A lawyer is often on a limited retainer to review documents, explain the documents and their consequences, and ensure that the client </w:t>
      </w:r>
      <w:r>
        <w:rPr>
          <w:rFonts w:ascii="Arial" w:hAnsi="Arial" w:cs="Arial"/>
          <w:sz w:val="22"/>
          <w:szCs w:val="22"/>
        </w:rPr>
        <w:lastRenderedPageBreak/>
        <w:t>has understood them.</w:t>
      </w:r>
      <w:r>
        <w:rPr>
          <w:rStyle w:val="FootnoteReference"/>
          <w:rFonts w:ascii="Arial" w:hAnsi="Arial" w:cs="Arial"/>
          <w:sz w:val="22"/>
          <w:szCs w:val="22"/>
        </w:rPr>
        <w:footnoteReference w:id="8"/>
      </w:r>
      <w:r>
        <w:rPr>
          <w:rFonts w:ascii="Arial" w:hAnsi="Arial" w:cs="Arial"/>
          <w:sz w:val="22"/>
          <w:szCs w:val="22"/>
        </w:rPr>
        <w:t xml:space="preserve"> The lawyer will not usually </w:t>
      </w:r>
      <w:r w:rsidR="005A2AC6">
        <w:rPr>
          <w:rFonts w:ascii="Arial" w:hAnsi="Arial" w:cs="Arial"/>
          <w:sz w:val="22"/>
          <w:szCs w:val="22"/>
        </w:rPr>
        <w:t xml:space="preserve">be retained to </w:t>
      </w:r>
      <w:r>
        <w:rPr>
          <w:rFonts w:ascii="Arial" w:hAnsi="Arial" w:cs="Arial"/>
          <w:sz w:val="22"/>
          <w:szCs w:val="22"/>
        </w:rPr>
        <w:t xml:space="preserve">conduct extensive due diligence or negotiate better or different terms on behalf of the client. </w:t>
      </w:r>
    </w:p>
    <w:p w14:paraId="0D66D258" w14:textId="77777777" w:rsidR="00153507" w:rsidRDefault="00153507" w:rsidP="00153507">
      <w:pPr>
        <w:pStyle w:val="OHHpara"/>
        <w:spacing w:after="0"/>
        <w:contextualSpacing/>
        <w:rPr>
          <w:rFonts w:ascii="Arial" w:hAnsi="Arial" w:cs="Arial"/>
          <w:sz w:val="22"/>
          <w:szCs w:val="22"/>
        </w:rPr>
      </w:pPr>
    </w:p>
    <w:p w14:paraId="0E6CC213" w14:textId="5ADB5BF2" w:rsidR="00DF22C3" w:rsidRDefault="00412762" w:rsidP="00153507">
      <w:pPr>
        <w:pStyle w:val="OHHpara"/>
        <w:spacing w:after="0" w:line="480" w:lineRule="auto"/>
        <w:contextualSpacing/>
        <w:rPr>
          <w:rFonts w:ascii="Arial" w:hAnsi="Arial" w:cs="Arial"/>
          <w:sz w:val="22"/>
          <w:szCs w:val="22"/>
        </w:rPr>
      </w:pPr>
      <w:r>
        <w:rPr>
          <w:rFonts w:ascii="Arial" w:hAnsi="Arial" w:cs="Arial"/>
          <w:sz w:val="22"/>
          <w:szCs w:val="22"/>
        </w:rPr>
        <w:t xml:space="preserve">If the lawyer’s scope of engagement </w:t>
      </w:r>
      <w:r w:rsidR="005A2AC6">
        <w:rPr>
          <w:rFonts w:ascii="Arial" w:hAnsi="Arial" w:cs="Arial"/>
          <w:sz w:val="22"/>
          <w:szCs w:val="22"/>
        </w:rPr>
        <w:t>includes</w:t>
      </w:r>
      <w:r>
        <w:rPr>
          <w:rFonts w:ascii="Arial" w:hAnsi="Arial" w:cs="Arial"/>
          <w:sz w:val="22"/>
          <w:szCs w:val="22"/>
        </w:rPr>
        <w:t xml:space="preserve"> a review of the purchase agreement, the lawyer should review </w:t>
      </w:r>
      <w:r w:rsidR="005A2AC6">
        <w:rPr>
          <w:rFonts w:ascii="Arial" w:hAnsi="Arial" w:cs="Arial"/>
          <w:sz w:val="22"/>
          <w:szCs w:val="22"/>
        </w:rPr>
        <w:t xml:space="preserve">its </w:t>
      </w:r>
      <w:r>
        <w:rPr>
          <w:rFonts w:ascii="Arial" w:hAnsi="Arial" w:cs="Arial"/>
          <w:sz w:val="22"/>
          <w:szCs w:val="22"/>
        </w:rPr>
        <w:t xml:space="preserve">terms with the client and consider providing the client with a clear summary of </w:t>
      </w:r>
      <w:r w:rsidR="005A2AC6">
        <w:rPr>
          <w:rFonts w:ascii="Arial" w:hAnsi="Arial" w:cs="Arial"/>
          <w:sz w:val="22"/>
          <w:szCs w:val="22"/>
        </w:rPr>
        <w:t xml:space="preserve">the </w:t>
      </w:r>
      <w:r>
        <w:rPr>
          <w:rFonts w:ascii="Arial" w:hAnsi="Arial" w:cs="Arial"/>
          <w:sz w:val="22"/>
          <w:szCs w:val="22"/>
        </w:rPr>
        <w:t xml:space="preserve">terms.  While the </w:t>
      </w:r>
      <w:r w:rsidR="00AA73D4">
        <w:rPr>
          <w:rFonts w:ascii="Arial" w:hAnsi="Arial" w:cs="Arial"/>
          <w:sz w:val="22"/>
          <w:szCs w:val="22"/>
        </w:rPr>
        <w:t xml:space="preserve">scope </w:t>
      </w:r>
      <w:r>
        <w:rPr>
          <w:rFonts w:ascii="Arial" w:hAnsi="Arial" w:cs="Arial"/>
          <w:sz w:val="22"/>
          <w:szCs w:val="22"/>
        </w:rPr>
        <w:t>of the lawyer’s review will depend on the client’s objectives, it will</w:t>
      </w:r>
      <w:r w:rsidR="00233CA0">
        <w:rPr>
          <w:rFonts w:ascii="Arial" w:hAnsi="Arial" w:cs="Arial"/>
          <w:sz w:val="22"/>
          <w:szCs w:val="22"/>
        </w:rPr>
        <w:t xml:space="preserve"> generally</w:t>
      </w:r>
      <w:r>
        <w:rPr>
          <w:rFonts w:ascii="Arial" w:hAnsi="Arial" w:cs="Arial"/>
          <w:sz w:val="22"/>
          <w:szCs w:val="22"/>
        </w:rPr>
        <w:t xml:space="preserve"> be important to highlight:</w:t>
      </w:r>
      <w:r w:rsidR="003506C3">
        <w:rPr>
          <w:rFonts w:ascii="Arial" w:hAnsi="Arial" w:cs="Arial"/>
          <w:sz w:val="22"/>
          <w:szCs w:val="22"/>
        </w:rPr>
        <w:t xml:space="preserve"> (i) the structure of the transaction (i.e., asset versus share sale);</w:t>
      </w:r>
      <w:r>
        <w:rPr>
          <w:rFonts w:ascii="Arial" w:hAnsi="Arial" w:cs="Arial"/>
          <w:sz w:val="22"/>
          <w:szCs w:val="22"/>
        </w:rPr>
        <w:t xml:space="preserve"> (i</w:t>
      </w:r>
      <w:r w:rsidR="003506C3">
        <w:rPr>
          <w:rFonts w:ascii="Arial" w:hAnsi="Arial" w:cs="Arial"/>
          <w:sz w:val="22"/>
          <w:szCs w:val="22"/>
        </w:rPr>
        <w:t>i</w:t>
      </w:r>
      <w:r>
        <w:rPr>
          <w:rFonts w:ascii="Arial" w:hAnsi="Arial" w:cs="Arial"/>
          <w:sz w:val="22"/>
          <w:szCs w:val="22"/>
        </w:rPr>
        <w:t>) the purchase price</w:t>
      </w:r>
      <w:r w:rsidR="00153507">
        <w:rPr>
          <w:rFonts w:ascii="Arial" w:hAnsi="Arial" w:cs="Arial"/>
          <w:sz w:val="22"/>
          <w:szCs w:val="22"/>
        </w:rPr>
        <w:t>, any adjustments</w:t>
      </w:r>
      <w:r w:rsidR="003506C3">
        <w:rPr>
          <w:rFonts w:ascii="Arial" w:hAnsi="Arial" w:cs="Arial"/>
          <w:sz w:val="22"/>
          <w:szCs w:val="22"/>
        </w:rPr>
        <w:t xml:space="preserve"> and how it will be paid</w:t>
      </w:r>
      <w:r>
        <w:rPr>
          <w:rFonts w:ascii="Arial" w:hAnsi="Arial" w:cs="Arial"/>
          <w:sz w:val="22"/>
          <w:szCs w:val="22"/>
        </w:rPr>
        <w:t>; (ii</w:t>
      </w:r>
      <w:r w:rsidR="003506C3">
        <w:rPr>
          <w:rFonts w:ascii="Arial" w:hAnsi="Arial" w:cs="Arial"/>
          <w:sz w:val="22"/>
          <w:szCs w:val="22"/>
        </w:rPr>
        <w:t>i</w:t>
      </w:r>
      <w:r>
        <w:rPr>
          <w:rFonts w:ascii="Arial" w:hAnsi="Arial" w:cs="Arial"/>
          <w:sz w:val="22"/>
          <w:szCs w:val="22"/>
        </w:rPr>
        <w:t>) which assets are being purchased</w:t>
      </w:r>
      <w:r w:rsidR="003506C3">
        <w:rPr>
          <w:rFonts w:ascii="Arial" w:hAnsi="Arial" w:cs="Arial"/>
          <w:sz w:val="22"/>
          <w:szCs w:val="22"/>
        </w:rPr>
        <w:t>/sold</w:t>
      </w:r>
      <w:r>
        <w:rPr>
          <w:rFonts w:ascii="Arial" w:hAnsi="Arial" w:cs="Arial"/>
          <w:sz w:val="22"/>
          <w:szCs w:val="22"/>
        </w:rPr>
        <w:t xml:space="preserve"> versus which assets are being </w:t>
      </w:r>
      <w:r w:rsidR="003506C3">
        <w:rPr>
          <w:rFonts w:ascii="Arial" w:hAnsi="Arial" w:cs="Arial"/>
          <w:sz w:val="22"/>
          <w:szCs w:val="22"/>
        </w:rPr>
        <w:t>retained by the seller; (iv</w:t>
      </w:r>
      <w:r>
        <w:rPr>
          <w:rFonts w:ascii="Arial" w:hAnsi="Arial" w:cs="Arial"/>
          <w:sz w:val="22"/>
          <w:szCs w:val="22"/>
        </w:rPr>
        <w:t xml:space="preserve">) what liabilities are being assumed by the purchaser; </w:t>
      </w:r>
      <w:r w:rsidR="003506C3">
        <w:rPr>
          <w:rFonts w:ascii="Arial" w:hAnsi="Arial" w:cs="Arial"/>
          <w:sz w:val="22"/>
          <w:szCs w:val="22"/>
        </w:rPr>
        <w:t>(v) whether the assets are being properly conveyed</w:t>
      </w:r>
      <w:r w:rsidR="009E594B">
        <w:rPr>
          <w:rFonts w:ascii="Arial" w:hAnsi="Arial" w:cs="Arial"/>
          <w:sz w:val="22"/>
          <w:szCs w:val="22"/>
        </w:rPr>
        <w:t xml:space="preserve"> (including, whether there is any security to be discharged)</w:t>
      </w:r>
      <w:r w:rsidR="003506C3">
        <w:rPr>
          <w:rFonts w:ascii="Arial" w:hAnsi="Arial" w:cs="Arial"/>
          <w:sz w:val="22"/>
          <w:szCs w:val="22"/>
        </w:rPr>
        <w:t xml:space="preserve">; </w:t>
      </w:r>
      <w:r w:rsidR="009E594B">
        <w:rPr>
          <w:rFonts w:ascii="Arial" w:hAnsi="Arial" w:cs="Arial"/>
          <w:sz w:val="22"/>
          <w:szCs w:val="22"/>
        </w:rPr>
        <w:t xml:space="preserve">and </w:t>
      </w:r>
      <w:r w:rsidR="003506C3">
        <w:rPr>
          <w:rFonts w:ascii="Arial" w:hAnsi="Arial" w:cs="Arial"/>
          <w:sz w:val="22"/>
          <w:szCs w:val="22"/>
        </w:rPr>
        <w:t>(vi) the</w:t>
      </w:r>
      <w:r w:rsidR="00DF22C3" w:rsidRPr="00264DF5">
        <w:rPr>
          <w:rFonts w:ascii="Arial" w:hAnsi="Arial" w:cs="Arial"/>
          <w:sz w:val="22"/>
          <w:szCs w:val="22"/>
        </w:rPr>
        <w:t xml:space="preserve"> existence of any confidentiality</w:t>
      </w:r>
      <w:r w:rsidR="00DF22C3">
        <w:rPr>
          <w:rFonts w:ascii="Arial" w:hAnsi="Arial" w:cs="Arial"/>
          <w:sz w:val="22"/>
          <w:szCs w:val="22"/>
        </w:rPr>
        <w:t xml:space="preserve"> or </w:t>
      </w:r>
      <w:r w:rsidR="00DF22C3" w:rsidRPr="00264DF5">
        <w:rPr>
          <w:rFonts w:ascii="Arial" w:hAnsi="Arial" w:cs="Arial"/>
          <w:sz w:val="22"/>
          <w:szCs w:val="22"/>
        </w:rPr>
        <w:t>non-competition covenants</w:t>
      </w:r>
      <w:r w:rsidR="00DF22C3">
        <w:rPr>
          <w:rFonts w:ascii="Arial" w:hAnsi="Arial" w:cs="Arial"/>
          <w:sz w:val="22"/>
          <w:szCs w:val="22"/>
        </w:rPr>
        <w:t>.</w:t>
      </w:r>
    </w:p>
    <w:p w14:paraId="02BE3E81" w14:textId="77777777" w:rsidR="00796D3D" w:rsidRDefault="00796D3D" w:rsidP="00796D3D">
      <w:pPr>
        <w:pStyle w:val="OHHpara"/>
        <w:spacing w:after="0"/>
        <w:contextualSpacing/>
        <w:rPr>
          <w:rFonts w:ascii="Arial" w:hAnsi="Arial" w:cs="Arial"/>
          <w:sz w:val="22"/>
          <w:szCs w:val="22"/>
        </w:rPr>
      </w:pPr>
    </w:p>
    <w:p w14:paraId="78EE48E5" w14:textId="3D499B3D" w:rsidR="0073338C" w:rsidRDefault="00DB72C1" w:rsidP="00796D3D">
      <w:pPr>
        <w:pStyle w:val="OHHpara"/>
        <w:spacing w:after="0" w:line="480" w:lineRule="auto"/>
        <w:contextualSpacing/>
        <w:rPr>
          <w:rFonts w:ascii="Arial" w:hAnsi="Arial" w:cs="Arial"/>
          <w:sz w:val="22"/>
          <w:szCs w:val="22"/>
        </w:rPr>
      </w:pPr>
      <w:r w:rsidRPr="00DB72C1">
        <w:rPr>
          <w:rFonts w:ascii="Arial" w:hAnsi="Arial" w:cs="Arial"/>
          <w:sz w:val="22"/>
          <w:szCs w:val="22"/>
        </w:rPr>
        <w:t xml:space="preserve">If the  scope of </w:t>
      </w:r>
      <w:r w:rsidR="00A81E5B">
        <w:rPr>
          <w:rFonts w:ascii="Arial" w:hAnsi="Arial" w:cs="Arial"/>
          <w:sz w:val="22"/>
          <w:szCs w:val="22"/>
        </w:rPr>
        <w:t xml:space="preserve">the lawyer’s </w:t>
      </w:r>
      <w:r w:rsidRPr="00DB72C1">
        <w:rPr>
          <w:rFonts w:ascii="Arial" w:hAnsi="Arial" w:cs="Arial"/>
          <w:sz w:val="22"/>
          <w:szCs w:val="22"/>
        </w:rPr>
        <w:t>engagement include</w:t>
      </w:r>
      <w:r w:rsidR="006C22E0">
        <w:rPr>
          <w:rFonts w:ascii="Arial" w:hAnsi="Arial" w:cs="Arial"/>
          <w:sz w:val="22"/>
          <w:szCs w:val="22"/>
        </w:rPr>
        <w:t>s</w:t>
      </w:r>
      <w:r w:rsidRPr="00DB72C1">
        <w:rPr>
          <w:rFonts w:ascii="Arial" w:hAnsi="Arial" w:cs="Arial"/>
          <w:sz w:val="22"/>
          <w:szCs w:val="22"/>
        </w:rPr>
        <w:t xml:space="preserve"> a review of any disclosure document and </w:t>
      </w:r>
      <w:r w:rsidR="006C22E0">
        <w:rPr>
          <w:rFonts w:ascii="Arial" w:hAnsi="Arial" w:cs="Arial"/>
          <w:sz w:val="22"/>
          <w:szCs w:val="22"/>
        </w:rPr>
        <w:t xml:space="preserve">any </w:t>
      </w:r>
      <w:r w:rsidRPr="00DB72C1">
        <w:rPr>
          <w:rFonts w:ascii="Arial" w:hAnsi="Arial" w:cs="Arial"/>
          <w:sz w:val="22"/>
          <w:szCs w:val="22"/>
        </w:rPr>
        <w:t>terms of the franchise agreement, the</w:t>
      </w:r>
      <w:r w:rsidR="00DF22C3" w:rsidRPr="00DB72C1">
        <w:rPr>
          <w:rFonts w:ascii="Arial" w:hAnsi="Arial" w:cs="Arial"/>
          <w:sz w:val="22"/>
          <w:szCs w:val="22"/>
        </w:rPr>
        <w:t xml:space="preserve"> </w:t>
      </w:r>
      <w:r w:rsidR="00153507">
        <w:rPr>
          <w:rFonts w:ascii="Arial" w:hAnsi="Arial" w:cs="Arial"/>
          <w:sz w:val="22"/>
          <w:szCs w:val="22"/>
        </w:rPr>
        <w:t xml:space="preserve">lawyer should </w:t>
      </w:r>
      <w:r w:rsidRPr="00DB72C1">
        <w:rPr>
          <w:rFonts w:ascii="Arial" w:hAnsi="Arial" w:cs="Arial"/>
          <w:sz w:val="22"/>
          <w:szCs w:val="22"/>
        </w:rPr>
        <w:t xml:space="preserve">first </w:t>
      </w:r>
      <w:r w:rsidR="00153507">
        <w:rPr>
          <w:rFonts w:ascii="Arial" w:hAnsi="Arial" w:cs="Arial"/>
          <w:sz w:val="22"/>
          <w:szCs w:val="22"/>
        </w:rPr>
        <w:t>advise the client</w:t>
      </w:r>
      <w:r w:rsidRPr="00DB72C1">
        <w:rPr>
          <w:rFonts w:ascii="Arial" w:hAnsi="Arial" w:cs="Arial"/>
          <w:sz w:val="22"/>
          <w:szCs w:val="22"/>
        </w:rPr>
        <w:t xml:space="preserve"> </w:t>
      </w:r>
      <w:r w:rsidR="00DF22C3" w:rsidRPr="00DB72C1">
        <w:rPr>
          <w:rFonts w:ascii="Arial" w:hAnsi="Arial" w:cs="Arial"/>
          <w:sz w:val="22"/>
          <w:szCs w:val="22"/>
        </w:rPr>
        <w:t>of the franchisor’s and franchisee’s key rights and obligations under the Act</w:t>
      </w:r>
      <w:r w:rsidR="00E93B83">
        <w:rPr>
          <w:rFonts w:ascii="Arial" w:hAnsi="Arial" w:cs="Arial"/>
          <w:sz w:val="22"/>
          <w:szCs w:val="22"/>
        </w:rPr>
        <w:t>. These</w:t>
      </w:r>
      <w:r w:rsidR="00153507">
        <w:rPr>
          <w:rFonts w:ascii="Arial" w:hAnsi="Arial" w:cs="Arial"/>
          <w:sz w:val="22"/>
          <w:szCs w:val="22"/>
        </w:rPr>
        <w:t xml:space="preserve"> rights and obligations include</w:t>
      </w:r>
      <w:r w:rsidR="00DF22C3" w:rsidRPr="00DB72C1">
        <w:rPr>
          <w:rFonts w:ascii="Arial" w:hAnsi="Arial" w:cs="Arial"/>
          <w:sz w:val="22"/>
          <w:szCs w:val="22"/>
        </w:rPr>
        <w:t xml:space="preserve"> the </w:t>
      </w:r>
      <w:r w:rsidRPr="00DB72C1">
        <w:rPr>
          <w:rFonts w:ascii="Arial" w:hAnsi="Arial" w:cs="Arial"/>
          <w:sz w:val="22"/>
          <w:szCs w:val="22"/>
        </w:rPr>
        <w:t xml:space="preserve">post-sale </w:t>
      </w:r>
      <w:r w:rsidR="00DF22C3" w:rsidRPr="00DB72C1">
        <w:rPr>
          <w:rFonts w:ascii="Arial" w:hAnsi="Arial" w:cs="Arial"/>
          <w:sz w:val="22"/>
          <w:szCs w:val="22"/>
        </w:rPr>
        <w:t xml:space="preserve">duty of good faith and fair dealing, the franchisee’s right to associate, the franchisor’s </w:t>
      </w:r>
      <w:r w:rsidRPr="00DB72C1">
        <w:rPr>
          <w:rFonts w:ascii="Arial" w:hAnsi="Arial" w:cs="Arial"/>
          <w:sz w:val="22"/>
          <w:szCs w:val="22"/>
        </w:rPr>
        <w:t xml:space="preserve">pre-sale </w:t>
      </w:r>
      <w:r w:rsidR="00DF22C3" w:rsidRPr="00DB72C1">
        <w:rPr>
          <w:rFonts w:ascii="Arial" w:hAnsi="Arial" w:cs="Arial"/>
          <w:sz w:val="22"/>
          <w:szCs w:val="22"/>
        </w:rPr>
        <w:t>disclosure obligation</w:t>
      </w:r>
      <w:r w:rsidRPr="00DB72C1">
        <w:rPr>
          <w:rFonts w:ascii="Arial" w:hAnsi="Arial" w:cs="Arial"/>
          <w:sz w:val="22"/>
          <w:szCs w:val="22"/>
        </w:rPr>
        <w:t>s</w:t>
      </w:r>
      <w:r w:rsidR="00AF270F">
        <w:rPr>
          <w:rFonts w:ascii="Arial" w:hAnsi="Arial" w:cs="Arial"/>
          <w:sz w:val="22"/>
          <w:szCs w:val="22"/>
        </w:rPr>
        <w:t>,</w:t>
      </w:r>
      <w:r w:rsidR="00993394">
        <w:rPr>
          <w:rFonts w:ascii="Arial" w:hAnsi="Arial" w:cs="Arial"/>
          <w:sz w:val="22"/>
          <w:szCs w:val="22"/>
        </w:rPr>
        <w:t xml:space="preserve"> and the franchisee’s statutory rescission and misrepresentation remedies</w:t>
      </w:r>
      <w:r w:rsidR="00DF22C3" w:rsidRPr="00DB72C1">
        <w:rPr>
          <w:rFonts w:ascii="Arial" w:hAnsi="Arial" w:cs="Arial"/>
          <w:sz w:val="22"/>
          <w:szCs w:val="22"/>
        </w:rPr>
        <w:t>.</w:t>
      </w:r>
      <w:r w:rsidR="00DF22C3" w:rsidRPr="00DB72C1">
        <w:rPr>
          <w:rStyle w:val="FootnoteReference"/>
          <w:rFonts w:ascii="Arial" w:hAnsi="Arial" w:cs="Arial"/>
          <w:sz w:val="22"/>
          <w:szCs w:val="22"/>
        </w:rPr>
        <w:footnoteReference w:id="9"/>
      </w:r>
      <w:r w:rsidR="00DF22C3" w:rsidRPr="00DB72C1">
        <w:rPr>
          <w:rFonts w:ascii="Arial" w:hAnsi="Arial" w:cs="Arial"/>
          <w:sz w:val="22"/>
          <w:szCs w:val="22"/>
        </w:rPr>
        <w:t xml:space="preserve"> </w:t>
      </w:r>
      <w:r w:rsidR="004C4724" w:rsidRPr="00DB72C1">
        <w:rPr>
          <w:rFonts w:ascii="Arial" w:hAnsi="Arial" w:cs="Arial"/>
          <w:sz w:val="22"/>
          <w:szCs w:val="22"/>
        </w:rPr>
        <w:t>If the franchisor has</w:t>
      </w:r>
      <w:r w:rsidR="0058027C">
        <w:rPr>
          <w:rFonts w:ascii="Arial" w:hAnsi="Arial" w:cs="Arial"/>
          <w:sz w:val="22"/>
          <w:szCs w:val="22"/>
        </w:rPr>
        <w:t xml:space="preserve"> an obligation to provide a disclosure document under the Act, </w:t>
      </w:r>
      <w:r w:rsidR="00487572">
        <w:rPr>
          <w:rFonts w:ascii="Arial" w:hAnsi="Arial" w:cs="Arial"/>
          <w:sz w:val="22"/>
          <w:szCs w:val="22"/>
        </w:rPr>
        <w:t xml:space="preserve">the lawyer should review </w:t>
      </w:r>
      <w:r w:rsidR="00D14051">
        <w:rPr>
          <w:rFonts w:ascii="Arial" w:hAnsi="Arial" w:cs="Arial"/>
          <w:sz w:val="22"/>
          <w:szCs w:val="22"/>
        </w:rPr>
        <w:t>its</w:t>
      </w:r>
      <w:r w:rsidR="00487572">
        <w:rPr>
          <w:rFonts w:ascii="Arial" w:hAnsi="Arial" w:cs="Arial"/>
          <w:sz w:val="22"/>
          <w:szCs w:val="22"/>
        </w:rPr>
        <w:t xml:space="preserve"> conten</w:t>
      </w:r>
      <w:r w:rsidR="00C77DD9">
        <w:rPr>
          <w:rFonts w:ascii="Arial" w:hAnsi="Arial" w:cs="Arial"/>
          <w:sz w:val="22"/>
          <w:szCs w:val="22"/>
        </w:rPr>
        <w:t xml:space="preserve">ts </w:t>
      </w:r>
      <w:r w:rsidR="00487572">
        <w:rPr>
          <w:rFonts w:ascii="Arial" w:hAnsi="Arial" w:cs="Arial"/>
          <w:sz w:val="22"/>
          <w:szCs w:val="22"/>
        </w:rPr>
        <w:t xml:space="preserve">with the client and identify any deficiencies. </w:t>
      </w:r>
      <w:r w:rsidR="00DF11CC">
        <w:rPr>
          <w:rFonts w:ascii="Arial" w:hAnsi="Arial" w:cs="Arial"/>
          <w:sz w:val="22"/>
          <w:szCs w:val="22"/>
        </w:rPr>
        <w:t xml:space="preserve"> </w:t>
      </w:r>
    </w:p>
    <w:p w14:paraId="0ECB23B0" w14:textId="77777777" w:rsidR="00796D3D" w:rsidRDefault="00796D3D" w:rsidP="00796D3D">
      <w:pPr>
        <w:pStyle w:val="OHHpara"/>
        <w:spacing w:after="0"/>
        <w:contextualSpacing/>
        <w:rPr>
          <w:rFonts w:ascii="Arial" w:hAnsi="Arial" w:cs="Arial"/>
          <w:sz w:val="22"/>
          <w:szCs w:val="22"/>
        </w:rPr>
      </w:pPr>
    </w:p>
    <w:p w14:paraId="1ECDBEE2" w14:textId="1585690A" w:rsidR="00DF22C3" w:rsidRDefault="00DF11CC" w:rsidP="00796D3D">
      <w:pPr>
        <w:pStyle w:val="OHHpara"/>
        <w:spacing w:after="0" w:line="480" w:lineRule="auto"/>
        <w:contextualSpacing/>
        <w:rPr>
          <w:rFonts w:ascii="Arial" w:hAnsi="Arial" w:cs="Arial"/>
          <w:sz w:val="22"/>
          <w:szCs w:val="22"/>
        </w:rPr>
      </w:pPr>
      <w:r>
        <w:rPr>
          <w:rFonts w:ascii="Arial" w:hAnsi="Arial" w:cs="Arial"/>
          <w:sz w:val="22"/>
          <w:szCs w:val="22"/>
        </w:rPr>
        <w:t xml:space="preserve">In reviewing the disclosure document, the lawyer </w:t>
      </w:r>
      <w:r w:rsidR="001E0F75">
        <w:rPr>
          <w:rFonts w:ascii="Arial" w:hAnsi="Arial" w:cs="Arial"/>
          <w:sz w:val="22"/>
          <w:szCs w:val="22"/>
        </w:rPr>
        <w:t>should</w:t>
      </w:r>
      <w:r>
        <w:rPr>
          <w:rFonts w:ascii="Arial" w:hAnsi="Arial" w:cs="Arial"/>
          <w:sz w:val="22"/>
          <w:szCs w:val="22"/>
        </w:rPr>
        <w:t xml:space="preserve"> assess whether </w:t>
      </w:r>
      <w:r w:rsidR="005977A7">
        <w:rPr>
          <w:rFonts w:ascii="Arial" w:hAnsi="Arial" w:cs="Arial"/>
          <w:sz w:val="22"/>
          <w:szCs w:val="22"/>
        </w:rPr>
        <w:t xml:space="preserve">it complies </w:t>
      </w:r>
      <w:r>
        <w:rPr>
          <w:rFonts w:ascii="Arial" w:hAnsi="Arial" w:cs="Arial"/>
          <w:sz w:val="22"/>
          <w:szCs w:val="22"/>
        </w:rPr>
        <w:t xml:space="preserve">with the </w:t>
      </w:r>
      <w:r w:rsidR="00DF22C3" w:rsidRPr="002F5299">
        <w:rPr>
          <w:rFonts w:ascii="Arial" w:hAnsi="Arial" w:cs="Arial"/>
          <w:sz w:val="22"/>
          <w:szCs w:val="22"/>
        </w:rPr>
        <w:t xml:space="preserve">disclosure requirements prescribed in </w:t>
      </w:r>
      <w:r w:rsidR="00DF22C3">
        <w:rPr>
          <w:rFonts w:ascii="Arial" w:hAnsi="Arial" w:cs="Arial"/>
          <w:sz w:val="22"/>
          <w:szCs w:val="22"/>
        </w:rPr>
        <w:t>the Act</w:t>
      </w:r>
      <w:r>
        <w:rPr>
          <w:rFonts w:ascii="Arial" w:hAnsi="Arial" w:cs="Arial"/>
          <w:sz w:val="22"/>
          <w:szCs w:val="22"/>
        </w:rPr>
        <w:t xml:space="preserve">.  For example, </w:t>
      </w:r>
      <w:r w:rsidR="005977A7">
        <w:rPr>
          <w:rFonts w:ascii="Arial" w:hAnsi="Arial" w:cs="Arial"/>
          <w:sz w:val="22"/>
          <w:szCs w:val="22"/>
        </w:rPr>
        <w:t>the lawyer should ensure the documents contains</w:t>
      </w:r>
      <w:r w:rsidR="00DF22C3">
        <w:rPr>
          <w:rFonts w:ascii="Arial" w:hAnsi="Arial" w:cs="Arial"/>
          <w:sz w:val="22"/>
          <w:szCs w:val="22"/>
        </w:rPr>
        <w:t xml:space="preserve"> </w:t>
      </w:r>
      <w:r>
        <w:rPr>
          <w:rFonts w:ascii="Arial" w:hAnsi="Arial" w:cs="Arial"/>
          <w:sz w:val="22"/>
          <w:szCs w:val="22"/>
        </w:rPr>
        <w:t>all</w:t>
      </w:r>
      <w:r w:rsidR="00DF22C3" w:rsidRPr="002F5299">
        <w:rPr>
          <w:rFonts w:ascii="Arial" w:hAnsi="Arial" w:cs="Arial"/>
          <w:sz w:val="22"/>
          <w:szCs w:val="22"/>
        </w:rPr>
        <w:t xml:space="preserve"> </w:t>
      </w:r>
      <w:r>
        <w:rPr>
          <w:rFonts w:ascii="Arial" w:hAnsi="Arial" w:cs="Arial"/>
          <w:sz w:val="22"/>
          <w:szCs w:val="22"/>
        </w:rPr>
        <w:t xml:space="preserve">prescribed </w:t>
      </w:r>
      <w:r w:rsidR="00DF22C3" w:rsidRPr="002F5299">
        <w:rPr>
          <w:rFonts w:ascii="Arial" w:hAnsi="Arial" w:cs="Arial"/>
          <w:sz w:val="22"/>
          <w:szCs w:val="22"/>
        </w:rPr>
        <w:t>material facts, prescribed statements</w:t>
      </w:r>
      <w:r>
        <w:rPr>
          <w:rFonts w:ascii="Arial" w:hAnsi="Arial" w:cs="Arial"/>
          <w:sz w:val="22"/>
          <w:szCs w:val="22"/>
        </w:rPr>
        <w:t xml:space="preserve"> and information</w:t>
      </w:r>
      <w:r w:rsidR="00DF22C3" w:rsidRPr="002F5299">
        <w:rPr>
          <w:rFonts w:ascii="Arial" w:hAnsi="Arial" w:cs="Arial"/>
          <w:sz w:val="22"/>
          <w:szCs w:val="22"/>
        </w:rPr>
        <w:t xml:space="preserve">, the </w:t>
      </w:r>
      <w:r w:rsidR="00DF22C3" w:rsidRPr="002F5299">
        <w:rPr>
          <w:rFonts w:ascii="Arial" w:hAnsi="Arial" w:cs="Arial"/>
          <w:sz w:val="22"/>
          <w:szCs w:val="22"/>
        </w:rPr>
        <w:lastRenderedPageBreak/>
        <w:t>franchisor’s financial statements</w:t>
      </w:r>
      <w:r w:rsidR="00DF22C3">
        <w:rPr>
          <w:rFonts w:ascii="Arial" w:hAnsi="Arial" w:cs="Arial"/>
          <w:sz w:val="22"/>
          <w:szCs w:val="22"/>
        </w:rPr>
        <w:t>,</w:t>
      </w:r>
      <w:r w:rsidR="00867787">
        <w:rPr>
          <w:rFonts w:ascii="Arial" w:hAnsi="Arial" w:cs="Arial"/>
          <w:sz w:val="22"/>
          <w:szCs w:val="22"/>
        </w:rPr>
        <w:t xml:space="preserve"> the</w:t>
      </w:r>
      <w:r w:rsidR="00DF22C3" w:rsidRPr="002F5299">
        <w:rPr>
          <w:rFonts w:ascii="Arial" w:hAnsi="Arial" w:cs="Arial"/>
          <w:sz w:val="22"/>
          <w:szCs w:val="22"/>
        </w:rPr>
        <w:t xml:space="preserve"> </w:t>
      </w:r>
      <w:r w:rsidR="00420ACB">
        <w:rPr>
          <w:rFonts w:ascii="Arial" w:hAnsi="Arial" w:cs="Arial"/>
          <w:sz w:val="22"/>
          <w:szCs w:val="22"/>
        </w:rPr>
        <w:t>franchisor’s certificate</w:t>
      </w:r>
      <w:r w:rsidR="007A0A7E">
        <w:rPr>
          <w:rFonts w:ascii="Arial" w:hAnsi="Arial" w:cs="Arial"/>
          <w:sz w:val="22"/>
          <w:szCs w:val="22"/>
        </w:rPr>
        <w:t>,</w:t>
      </w:r>
      <w:r w:rsidR="00867787">
        <w:rPr>
          <w:rFonts w:ascii="Arial" w:hAnsi="Arial" w:cs="Arial"/>
          <w:sz w:val="22"/>
          <w:szCs w:val="22"/>
        </w:rPr>
        <w:t xml:space="preserve"> </w:t>
      </w:r>
      <w:r w:rsidR="00DF22C3" w:rsidRPr="002F5299">
        <w:rPr>
          <w:rFonts w:ascii="Arial" w:hAnsi="Arial" w:cs="Arial"/>
          <w:sz w:val="22"/>
          <w:szCs w:val="22"/>
        </w:rPr>
        <w:t>copies of all proposed franchise agreements and other agreements relating to the franchise to be signed by the prospective franchisee</w:t>
      </w:r>
      <w:r w:rsidR="009A5A09">
        <w:rPr>
          <w:rFonts w:ascii="Arial" w:hAnsi="Arial" w:cs="Arial"/>
          <w:sz w:val="22"/>
          <w:szCs w:val="22"/>
        </w:rPr>
        <w:t>, and all other “material facts”</w:t>
      </w:r>
      <w:r w:rsidR="00AC3AD7">
        <w:rPr>
          <w:rFonts w:ascii="Arial" w:hAnsi="Arial" w:cs="Arial"/>
          <w:sz w:val="22"/>
          <w:szCs w:val="22"/>
        </w:rPr>
        <w:t>. “</w:t>
      </w:r>
      <w:r>
        <w:rPr>
          <w:rFonts w:ascii="Arial" w:hAnsi="Arial" w:cs="Arial"/>
          <w:sz w:val="22"/>
          <w:szCs w:val="22"/>
        </w:rPr>
        <w:t>A</w:t>
      </w:r>
      <w:r w:rsidR="00420ACB">
        <w:rPr>
          <w:rFonts w:ascii="Arial" w:hAnsi="Arial" w:cs="Arial"/>
          <w:sz w:val="22"/>
          <w:szCs w:val="22"/>
        </w:rPr>
        <w:t xml:space="preserve"> material fact</w:t>
      </w:r>
      <w:r w:rsidR="00AC3AD7">
        <w:rPr>
          <w:rFonts w:ascii="Arial" w:hAnsi="Arial" w:cs="Arial"/>
          <w:sz w:val="22"/>
          <w:szCs w:val="22"/>
        </w:rPr>
        <w:t>”</w:t>
      </w:r>
      <w:r w:rsidR="00420ACB">
        <w:rPr>
          <w:rFonts w:ascii="Arial" w:hAnsi="Arial" w:cs="Arial"/>
          <w:sz w:val="22"/>
          <w:szCs w:val="22"/>
        </w:rPr>
        <w:t xml:space="preserve"> is defined by the Act as including</w:t>
      </w:r>
      <w:r w:rsidR="00DF22C3">
        <w:rPr>
          <w:rFonts w:ascii="Arial" w:hAnsi="Arial" w:cs="Arial"/>
          <w:sz w:val="22"/>
          <w:szCs w:val="22"/>
        </w:rPr>
        <w:t xml:space="preserve"> information</w:t>
      </w:r>
      <w:r w:rsidR="00DF22C3" w:rsidRPr="00E95367">
        <w:rPr>
          <w:rFonts w:ascii="Arial" w:hAnsi="Arial" w:cs="Arial"/>
          <w:sz w:val="22"/>
          <w:szCs w:val="22"/>
        </w:rPr>
        <w:t xml:space="preserve"> about the business, operations, capital</w:t>
      </w:r>
      <w:r w:rsidR="004C4724">
        <w:rPr>
          <w:rFonts w:ascii="Arial" w:hAnsi="Arial" w:cs="Arial"/>
          <w:sz w:val="22"/>
          <w:szCs w:val="22"/>
        </w:rPr>
        <w:t>,</w:t>
      </w:r>
      <w:r w:rsidR="00DF22C3" w:rsidRPr="00E95367">
        <w:rPr>
          <w:rFonts w:ascii="Arial" w:hAnsi="Arial" w:cs="Arial"/>
          <w:sz w:val="22"/>
          <w:szCs w:val="22"/>
        </w:rPr>
        <w:t xml:space="preserve"> or control of the franchisor or franchisor’s associate</w:t>
      </w:r>
      <w:r w:rsidR="008B3313">
        <w:rPr>
          <w:rFonts w:ascii="Arial" w:hAnsi="Arial" w:cs="Arial"/>
          <w:sz w:val="22"/>
          <w:szCs w:val="22"/>
        </w:rPr>
        <w:t>,</w:t>
      </w:r>
      <w:r w:rsidR="00DF22C3" w:rsidRPr="00E95367">
        <w:rPr>
          <w:rFonts w:ascii="Arial" w:hAnsi="Arial" w:cs="Arial"/>
          <w:sz w:val="22"/>
          <w:szCs w:val="22"/>
        </w:rPr>
        <w:t xml:space="preserve"> or about the franchise system that would reasonably be expected to have a significant effect on the value or price of the franchise to be granted or the decision to acquire the franc</w:t>
      </w:r>
      <w:r w:rsidR="00DF22C3">
        <w:rPr>
          <w:rFonts w:ascii="Arial" w:hAnsi="Arial" w:cs="Arial"/>
          <w:sz w:val="22"/>
          <w:szCs w:val="22"/>
        </w:rPr>
        <w:t xml:space="preserve">hise. </w:t>
      </w:r>
      <w:r w:rsidR="007A0A7E">
        <w:rPr>
          <w:rFonts w:ascii="Arial" w:hAnsi="Arial" w:cs="Arial"/>
          <w:sz w:val="22"/>
          <w:szCs w:val="22"/>
        </w:rPr>
        <w:t xml:space="preserve"> In addition to identifying any </w:t>
      </w:r>
      <w:r w:rsidR="00AF270F">
        <w:rPr>
          <w:rFonts w:ascii="Arial" w:hAnsi="Arial" w:cs="Arial"/>
          <w:sz w:val="22"/>
          <w:szCs w:val="22"/>
        </w:rPr>
        <w:t xml:space="preserve">deficiencies in the disclosure document, </w:t>
      </w:r>
      <w:r w:rsidR="009A5A09">
        <w:rPr>
          <w:rFonts w:ascii="Arial" w:hAnsi="Arial" w:cs="Arial"/>
          <w:sz w:val="22"/>
          <w:szCs w:val="22"/>
        </w:rPr>
        <w:t xml:space="preserve">the lawyer should </w:t>
      </w:r>
      <w:r w:rsidR="00AF270F">
        <w:rPr>
          <w:rFonts w:ascii="Arial" w:hAnsi="Arial" w:cs="Arial"/>
          <w:sz w:val="22"/>
          <w:szCs w:val="22"/>
        </w:rPr>
        <w:t xml:space="preserve">consider highlighting the following for the client: </w:t>
      </w:r>
      <w:r w:rsidR="008B3313">
        <w:rPr>
          <w:rFonts w:ascii="Arial" w:hAnsi="Arial" w:cs="Arial"/>
          <w:sz w:val="22"/>
          <w:szCs w:val="22"/>
        </w:rPr>
        <w:t xml:space="preserve">(i) </w:t>
      </w:r>
      <w:r w:rsidR="00AF270F">
        <w:rPr>
          <w:rFonts w:ascii="Arial" w:hAnsi="Arial" w:cs="Arial"/>
          <w:sz w:val="22"/>
          <w:szCs w:val="22"/>
        </w:rPr>
        <w:t xml:space="preserve">the </w:t>
      </w:r>
      <w:r w:rsidR="00DF22C3">
        <w:rPr>
          <w:rFonts w:ascii="Arial" w:hAnsi="Arial" w:cs="Arial"/>
          <w:sz w:val="22"/>
          <w:szCs w:val="22"/>
        </w:rPr>
        <w:t>franchisor’s level of experience and resources</w:t>
      </w:r>
      <w:r w:rsidR="008B3313">
        <w:rPr>
          <w:rFonts w:ascii="Arial" w:hAnsi="Arial" w:cs="Arial"/>
          <w:sz w:val="22"/>
          <w:szCs w:val="22"/>
        </w:rPr>
        <w:t>; (ii)</w:t>
      </w:r>
      <w:r w:rsidR="00DF22C3">
        <w:rPr>
          <w:rFonts w:ascii="Arial" w:hAnsi="Arial" w:cs="Arial"/>
          <w:sz w:val="22"/>
          <w:szCs w:val="22"/>
        </w:rPr>
        <w:t xml:space="preserve"> </w:t>
      </w:r>
      <w:r w:rsidR="00DF22C3" w:rsidRPr="001C3A39">
        <w:rPr>
          <w:rFonts w:ascii="Arial" w:hAnsi="Arial" w:cs="Arial"/>
          <w:sz w:val="22"/>
          <w:szCs w:val="22"/>
        </w:rPr>
        <w:t>whether the list of historical litigation raises any red flags</w:t>
      </w:r>
      <w:r w:rsidR="00873924">
        <w:rPr>
          <w:rFonts w:ascii="Arial" w:hAnsi="Arial" w:cs="Arial"/>
          <w:sz w:val="22"/>
          <w:szCs w:val="22"/>
        </w:rPr>
        <w:t>; (iii)</w:t>
      </w:r>
      <w:r w:rsidR="00DF22C3" w:rsidRPr="001C3A39">
        <w:rPr>
          <w:rFonts w:ascii="Arial" w:hAnsi="Arial" w:cs="Arial"/>
          <w:sz w:val="22"/>
          <w:szCs w:val="22"/>
        </w:rPr>
        <w:t xml:space="preserve"> whether the fees are unusually high or low for the type of franchise system</w:t>
      </w:r>
      <w:r w:rsidR="00FF586E">
        <w:rPr>
          <w:rFonts w:ascii="Arial" w:hAnsi="Arial" w:cs="Arial"/>
          <w:sz w:val="22"/>
          <w:szCs w:val="22"/>
        </w:rPr>
        <w:t>; (iv)</w:t>
      </w:r>
      <w:r w:rsidR="00DF22C3" w:rsidRPr="001C3A39">
        <w:rPr>
          <w:rFonts w:ascii="Arial" w:hAnsi="Arial" w:cs="Arial"/>
          <w:sz w:val="22"/>
          <w:szCs w:val="22"/>
        </w:rPr>
        <w:t xml:space="preserve"> what types of restrictions there are with respect to the purchase and sale of goods and services</w:t>
      </w:r>
      <w:r w:rsidR="000F22C6">
        <w:rPr>
          <w:rFonts w:ascii="Arial" w:hAnsi="Arial" w:cs="Arial"/>
          <w:sz w:val="22"/>
          <w:szCs w:val="22"/>
        </w:rPr>
        <w:t>; (v)</w:t>
      </w:r>
      <w:r w:rsidR="00DF22C3" w:rsidRPr="001C3A39">
        <w:rPr>
          <w:rFonts w:ascii="Arial" w:hAnsi="Arial" w:cs="Arial"/>
          <w:sz w:val="22"/>
          <w:szCs w:val="22"/>
        </w:rPr>
        <w:t xml:space="preserve"> what form of exclusive territory, if any, the franchisee will receive</w:t>
      </w:r>
      <w:r w:rsidR="00BA3FDA">
        <w:rPr>
          <w:rFonts w:ascii="Arial" w:hAnsi="Arial" w:cs="Arial"/>
          <w:sz w:val="22"/>
          <w:szCs w:val="22"/>
        </w:rPr>
        <w:t>; (vi)</w:t>
      </w:r>
      <w:r w:rsidR="00DF22C3" w:rsidRPr="001C3A39">
        <w:rPr>
          <w:rFonts w:ascii="Arial" w:hAnsi="Arial" w:cs="Arial"/>
          <w:sz w:val="22"/>
          <w:szCs w:val="22"/>
        </w:rPr>
        <w:t xml:space="preserve"> whether the franchisor’s trade-marks are registered</w:t>
      </w:r>
      <w:r w:rsidR="00BA3FDA">
        <w:rPr>
          <w:rFonts w:ascii="Arial" w:hAnsi="Arial" w:cs="Arial"/>
          <w:sz w:val="22"/>
          <w:szCs w:val="22"/>
        </w:rPr>
        <w:t>;</w:t>
      </w:r>
      <w:r w:rsidR="009A5A09">
        <w:rPr>
          <w:rFonts w:ascii="Arial" w:hAnsi="Arial" w:cs="Arial"/>
          <w:sz w:val="22"/>
          <w:szCs w:val="22"/>
        </w:rPr>
        <w:t xml:space="preserve"> and</w:t>
      </w:r>
      <w:r w:rsidR="00BA3FDA">
        <w:rPr>
          <w:rFonts w:ascii="Arial" w:hAnsi="Arial" w:cs="Arial"/>
          <w:sz w:val="22"/>
          <w:szCs w:val="22"/>
        </w:rPr>
        <w:t xml:space="preserve"> (vii)</w:t>
      </w:r>
      <w:r w:rsidR="00DF22C3" w:rsidRPr="001C3A39">
        <w:rPr>
          <w:rFonts w:ascii="Arial" w:hAnsi="Arial" w:cs="Arial"/>
          <w:sz w:val="22"/>
          <w:szCs w:val="22"/>
        </w:rPr>
        <w:t xml:space="preserve"> the list of existing and former franchisees.</w:t>
      </w:r>
      <w:r w:rsidR="00DF22C3">
        <w:rPr>
          <w:rFonts w:ascii="Arial" w:hAnsi="Arial" w:cs="Arial"/>
          <w:sz w:val="22"/>
          <w:szCs w:val="22"/>
        </w:rPr>
        <w:t xml:space="preserve"> Alternatively, if a franchisor is relying on a disclosure exemption, the lawyer should review the exemptions relied on by the franchisor carefully with the client.</w:t>
      </w:r>
      <w:r w:rsidR="00DF22C3">
        <w:rPr>
          <w:rStyle w:val="FootnoteReference"/>
          <w:rFonts w:ascii="Arial" w:hAnsi="Arial" w:cs="Arial"/>
          <w:sz w:val="22"/>
          <w:szCs w:val="22"/>
        </w:rPr>
        <w:footnoteReference w:id="10"/>
      </w:r>
      <w:r w:rsidR="00DF22C3">
        <w:rPr>
          <w:rFonts w:ascii="Arial" w:hAnsi="Arial" w:cs="Arial"/>
          <w:sz w:val="22"/>
          <w:szCs w:val="22"/>
        </w:rPr>
        <w:t xml:space="preserve"> </w:t>
      </w:r>
    </w:p>
    <w:p w14:paraId="4E72F252" w14:textId="77777777" w:rsidR="00796D3D" w:rsidRDefault="00796D3D" w:rsidP="00796D3D">
      <w:pPr>
        <w:pStyle w:val="OHHpara"/>
        <w:spacing w:after="0"/>
        <w:contextualSpacing/>
        <w:rPr>
          <w:rFonts w:ascii="Arial" w:hAnsi="Arial" w:cs="Arial"/>
          <w:sz w:val="22"/>
          <w:szCs w:val="22"/>
        </w:rPr>
      </w:pPr>
    </w:p>
    <w:p w14:paraId="31D64D8C" w14:textId="5DB30AC7" w:rsidR="00DF22C3" w:rsidRDefault="00D21502" w:rsidP="005D2B0E">
      <w:pPr>
        <w:pStyle w:val="OHHpara"/>
        <w:spacing w:after="0" w:line="480" w:lineRule="auto"/>
        <w:contextualSpacing/>
        <w:rPr>
          <w:rFonts w:ascii="Arial" w:hAnsi="Arial" w:cs="Arial"/>
          <w:sz w:val="22"/>
          <w:szCs w:val="22"/>
        </w:rPr>
      </w:pPr>
      <w:r>
        <w:rPr>
          <w:rFonts w:ascii="Arial" w:hAnsi="Arial" w:cs="Arial"/>
          <w:sz w:val="22"/>
          <w:szCs w:val="22"/>
        </w:rPr>
        <w:t>When</w:t>
      </w:r>
      <w:r w:rsidR="00750A39">
        <w:rPr>
          <w:rFonts w:ascii="Arial" w:hAnsi="Arial" w:cs="Arial"/>
          <w:sz w:val="22"/>
          <w:szCs w:val="22"/>
        </w:rPr>
        <w:t xml:space="preserve"> reviewing the franchise agreement </w:t>
      </w:r>
      <w:r w:rsidR="00750A39" w:rsidRPr="002B052C">
        <w:rPr>
          <w:rFonts w:ascii="Arial" w:hAnsi="Arial" w:cs="Arial"/>
          <w:sz w:val="22"/>
          <w:szCs w:val="22"/>
        </w:rPr>
        <w:t>and any ancillary agreements</w:t>
      </w:r>
      <w:r w:rsidR="00750A39">
        <w:rPr>
          <w:rFonts w:ascii="Arial" w:hAnsi="Arial" w:cs="Arial"/>
          <w:sz w:val="22"/>
          <w:szCs w:val="22"/>
        </w:rPr>
        <w:t xml:space="preserve">, </w:t>
      </w:r>
      <w:r w:rsidR="00796D3D">
        <w:rPr>
          <w:rFonts w:ascii="Arial" w:hAnsi="Arial" w:cs="Arial"/>
          <w:sz w:val="22"/>
          <w:szCs w:val="22"/>
        </w:rPr>
        <w:t>some of the key provisions to consider highlighting for the client include</w:t>
      </w:r>
      <w:r w:rsidR="005D2B0E">
        <w:rPr>
          <w:rFonts w:ascii="Arial" w:hAnsi="Arial" w:cs="Arial"/>
          <w:sz w:val="22"/>
          <w:szCs w:val="22"/>
        </w:rPr>
        <w:t xml:space="preserve">: (i) </w:t>
      </w:r>
      <w:r w:rsidR="00796D3D">
        <w:rPr>
          <w:rFonts w:ascii="Arial" w:hAnsi="Arial" w:cs="Arial"/>
          <w:sz w:val="22"/>
          <w:szCs w:val="22"/>
        </w:rPr>
        <w:t xml:space="preserve">the term </w:t>
      </w:r>
      <w:r w:rsidR="00A92CE7">
        <w:rPr>
          <w:rFonts w:ascii="Arial" w:hAnsi="Arial" w:cs="Arial"/>
          <w:sz w:val="22"/>
          <w:szCs w:val="22"/>
        </w:rPr>
        <w:t>and any</w:t>
      </w:r>
      <w:r w:rsidR="00796D3D">
        <w:rPr>
          <w:rFonts w:ascii="Arial" w:hAnsi="Arial" w:cs="Arial"/>
          <w:sz w:val="22"/>
          <w:szCs w:val="22"/>
        </w:rPr>
        <w:t xml:space="preserve"> renewal terms</w:t>
      </w:r>
      <w:r w:rsidR="00DF22C3" w:rsidRPr="00426AD9">
        <w:rPr>
          <w:rFonts w:ascii="Arial" w:hAnsi="Arial" w:cs="Arial"/>
          <w:sz w:val="22"/>
          <w:szCs w:val="22"/>
        </w:rPr>
        <w:t xml:space="preserve"> of the franchise agreement, including whether it is long enough for </w:t>
      </w:r>
      <w:r w:rsidR="008550A8">
        <w:rPr>
          <w:rFonts w:ascii="Arial" w:hAnsi="Arial" w:cs="Arial"/>
          <w:sz w:val="22"/>
          <w:szCs w:val="22"/>
        </w:rPr>
        <w:t>the</w:t>
      </w:r>
      <w:r w:rsidR="00DF22C3" w:rsidRPr="00426AD9">
        <w:rPr>
          <w:rFonts w:ascii="Arial" w:hAnsi="Arial" w:cs="Arial"/>
          <w:sz w:val="22"/>
          <w:szCs w:val="22"/>
        </w:rPr>
        <w:t xml:space="preserve"> </w:t>
      </w:r>
      <w:r w:rsidR="008550A8">
        <w:rPr>
          <w:rFonts w:ascii="Arial" w:hAnsi="Arial" w:cs="Arial"/>
          <w:sz w:val="22"/>
          <w:szCs w:val="22"/>
        </w:rPr>
        <w:t>purchaser</w:t>
      </w:r>
      <w:r w:rsidR="00DF22C3" w:rsidRPr="00426AD9">
        <w:rPr>
          <w:rFonts w:ascii="Arial" w:hAnsi="Arial" w:cs="Arial"/>
          <w:sz w:val="22"/>
          <w:szCs w:val="22"/>
        </w:rPr>
        <w:t xml:space="preserve"> to recoup its initial investment, and whether the term of the franchise agreement </w:t>
      </w:r>
      <w:r w:rsidR="00255F5D">
        <w:rPr>
          <w:rFonts w:ascii="Arial" w:hAnsi="Arial" w:cs="Arial"/>
          <w:sz w:val="22"/>
          <w:szCs w:val="22"/>
        </w:rPr>
        <w:t>concords with</w:t>
      </w:r>
      <w:r w:rsidR="00DF22C3" w:rsidRPr="00426AD9">
        <w:rPr>
          <w:rFonts w:ascii="Arial" w:hAnsi="Arial" w:cs="Arial"/>
          <w:sz w:val="22"/>
          <w:szCs w:val="22"/>
        </w:rPr>
        <w:t xml:space="preserve"> (i.e., does not exceed) the term of any ancillary lease or sublease;</w:t>
      </w:r>
      <w:r w:rsidR="005D2B0E">
        <w:rPr>
          <w:rFonts w:ascii="Arial" w:hAnsi="Arial" w:cs="Arial"/>
          <w:sz w:val="22"/>
          <w:szCs w:val="22"/>
        </w:rPr>
        <w:t xml:space="preserve"> (ii) </w:t>
      </w:r>
      <w:r w:rsidR="00DF22C3" w:rsidRPr="00426AD9">
        <w:rPr>
          <w:rFonts w:ascii="Arial" w:hAnsi="Arial" w:cs="Arial"/>
          <w:sz w:val="22"/>
          <w:szCs w:val="22"/>
        </w:rPr>
        <w:t>whether t</w:t>
      </w:r>
      <w:r w:rsidR="00A66AF5">
        <w:rPr>
          <w:rFonts w:ascii="Arial" w:hAnsi="Arial" w:cs="Arial"/>
          <w:sz w:val="22"/>
          <w:szCs w:val="22"/>
        </w:rPr>
        <w:t>he franchise agreement grants the purchaser</w:t>
      </w:r>
      <w:r w:rsidR="00DF22C3" w:rsidRPr="00426AD9">
        <w:rPr>
          <w:rFonts w:ascii="Arial" w:hAnsi="Arial" w:cs="Arial"/>
          <w:sz w:val="22"/>
          <w:szCs w:val="22"/>
        </w:rPr>
        <w:t xml:space="preserve"> an exclusive territory, and if not, whether having one is important to the success of the business;</w:t>
      </w:r>
      <w:r w:rsidR="005D2B0E">
        <w:rPr>
          <w:rFonts w:ascii="Arial" w:hAnsi="Arial" w:cs="Arial"/>
          <w:sz w:val="22"/>
          <w:szCs w:val="22"/>
        </w:rPr>
        <w:t xml:space="preserve"> (iii) </w:t>
      </w:r>
      <w:r w:rsidR="00DF22C3" w:rsidRPr="00426AD9">
        <w:rPr>
          <w:rFonts w:ascii="Arial" w:hAnsi="Arial" w:cs="Arial"/>
          <w:sz w:val="22"/>
          <w:szCs w:val="22"/>
        </w:rPr>
        <w:t>any conditions or restrictions on transfer, renewal</w:t>
      </w:r>
      <w:r w:rsidR="005027C6">
        <w:rPr>
          <w:rFonts w:ascii="Arial" w:hAnsi="Arial" w:cs="Arial"/>
          <w:sz w:val="22"/>
          <w:szCs w:val="22"/>
        </w:rPr>
        <w:t>,</w:t>
      </w:r>
      <w:r w:rsidR="00DF22C3" w:rsidRPr="00426AD9">
        <w:rPr>
          <w:rFonts w:ascii="Arial" w:hAnsi="Arial" w:cs="Arial"/>
          <w:sz w:val="22"/>
          <w:szCs w:val="22"/>
        </w:rPr>
        <w:t xml:space="preserve"> or termination of the franchise agreement</w:t>
      </w:r>
      <w:r w:rsidR="008C706B">
        <w:rPr>
          <w:rFonts w:ascii="Arial" w:hAnsi="Arial" w:cs="Arial"/>
          <w:sz w:val="22"/>
          <w:szCs w:val="22"/>
        </w:rPr>
        <w:t>,</w:t>
      </w:r>
      <w:r w:rsidR="00DF22C3" w:rsidRPr="00426AD9">
        <w:rPr>
          <w:rFonts w:ascii="Arial" w:hAnsi="Arial" w:cs="Arial"/>
          <w:sz w:val="22"/>
          <w:szCs w:val="22"/>
        </w:rPr>
        <w:t xml:space="preserve"> and whether these would be feasible for </w:t>
      </w:r>
      <w:r w:rsidR="00A66AF5">
        <w:rPr>
          <w:rFonts w:ascii="Arial" w:hAnsi="Arial" w:cs="Arial"/>
          <w:sz w:val="22"/>
          <w:szCs w:val="22"/>
        </w:rPr>
        <w:t xml:space="preserve">the purchaser; </w:t>
      </w:r>
      <w:r w:rsidR="005D2B0E">
        <w:rPr>
          <w:rFonts w:ascii="Arial" w:hAnsi="Arial" w:cs="Arial"/>
          <w:sz w:val="22"/>
          <w:szCs w:val="22"/>
        </w:rPr>
        <w:t xml:space="preserve">(iii) </w:t>
      </w:r>
      <w:r w:rsidR="00DF22C3" w:rsidRPr="00426AD9">
        <w:rPr>
          <w:rFonts w:ascii="Arial" w:hAnsi="Arial" w:cs="Arial"/>
          <w:sz w:val="22"/>
          <w:szCs w:val="22"/>
        </w:rPr>
        <w:t xml:space="preserve">how the franchisor intends to use the advertising fund, if any, and whether </w:t>
      </w:r>
      <w:r w:rsidR="00A66AF5">
        <w:rPr>
          <w:rFonts w:ascii="Arial" w:hAnsi="Arial" w:cs="Arial"/>
          <w:sz w:val="22"/>
          <w:szCs w:val="22"/>
        </w:rPr>
        <w:t>the purchaser</w:t>
      </w:r>
      <w:r w:rsidR="00DF22C3" w:rsidRPr="00426AD9">
        <w:rPr>
          <w:rFonts w:ascii="Arial" w:hAnsi="Arial" w:cs="Arial"/>
          <w:sz w:val="22"/>
          <w:szCs w:val="22"/>
        </w:rPr>
        <w:t xml:space="preserve"> will receive advertising materials;</w:t>
      </w:r>
      <w:r w:rsidR="005D2B0E">
        <w:rPr>
          <w:rFonts w:ascii="Arial" w:hAnsi="Arial" w:cs="Arial"/>
          <w:sz w:val="22"/>
          <w:szCs w:val="22"/>
        </w:rPr>
        <w:t xml:space="preserve"> </w:t>
      </w:r>
      <w:r w:rsidR="005D2B0E">
        <w:rPr>
          <w:rFonts w:ascii="Arial" w:hAnsi="Arial" w:cs="Arial"/>
          <w:sz w:val="22"/>
          <w:szCs w:val="22"/>
        </w:rPr>
        <w:lastRenderedPageBreak/>
        <w:t xml:space="preserve">(iv) </w:t>
      </w:r>
      <w:r w:rsidR="008C706B">
        <w:rPr>
          <w:rFonts w:ascii="Arial" w:hAnsi="Arial" w:cs="Arial"/>
          <w:sz w:val="22"/>
          <w:szCs w:val="22"/>
        </w:rPr>
        <w:t>if</w:t>
      </w:r>
      <w:r w:rsidR="008C706B" w:rsidRPr="00426AD9">
        <w:rPr>
          <w:rFonts w:ascii="Arial" w:hAnsi="Arial" w:cs="Arial"/>
          <w:sz w:val="22"/>
          <w:szCs w:val="22"/>
        </w:rPr>
        <w:t xml:space="preserve"> </w:t>
      </w:r>
      <w:r w:rsidR="00DF22C3" w:rsidRPr="00426AD9">
        <w:rPr>
          <w:rFonts w:ascii="Arial" w:hAnsi="Arial" w:cs="Arial"/>
          <w:sz w:val="22"/>
          <w:szCs w:val="22"/>
        </w:rPr>
        <w:t xml:space="preserve">and/or </w:t>
      </w:r>
      <w:r w:rsidR="008C706B">
        <w:rPr>
          <w:rFonts w:ascii="Arial" w:hAnsi="Arial" w:cs="Arial"/>
          <w:sz w:val="22"/>
          <w:szCs w:val="22"/>
        </w:rPr>
        <w:t xml:space="preserve">how </w:t>
      </w:r>
      <w:r w:rsidR="00DF22C3" w:rsidRPr="00426AD9">
        <w:rPr>
          <w:rFonts w:ascii="Arial" w:hAnsi="Arial" w:cs="Arial"/>
          <w:sz w:val="22"/>
          <w:szCs w:val="22"/>
        </w:rPr>
        <w:t>the franchisor intends to share and/or use volume rebates;</w:t>
      </w:r>
      <w:r w:rsidR="005D2B0E">
        <w:rPr>
          <w:rFonts w:ascii="Arial" w:hAnsi="Arial" w:cs="Arial"/>
          <w:sz w:val="22"/>
          <w:szCs w:val="22"/>
        </w:rPr>
        <w:t xml:space="preserve"> (v) </w:t>
      </w:r>
      <w:r w:rsidR="00DF22C3" w:rsidRPr="00426AD9">
        <w:rPr>
          <w:rFonts w:ascii="Arial" w:hAnsi="Arial" w:cs="Arial"/>
          <w:sz w:val="22"/>
          <w:szCs w:val="22"/>
        </w:rPr>
        <w:t>whether there are any a</w:t>
      </w:r>
      <w:r w:rsidR="00A66AF5">
        <w:rPr>
          <w:rFonts w:ascii="Arial" w:hAnsi="Arial" w:cs="Arial"/>
          <w:sz w:val="22"/>
          <w:szCs w:val="22"/>
        </w:rPr>
        <w:t>dditional costs to be borne by the purchaser</w:t>
      </w:r>
      <w:r w:rsidR="00DF22C3" w:rsidRPr="00426AD9">
        <w:rPr>
          <w:rFonts w:ascii="Arial" w:hAnsi="Arial" w:cs="Arial"/>
          <w:sz w:val="22"/>
          <w:szCs w:val="22"/>
        </w:rPr>
        <w:t xml:space="preserve"> in the event the franchisor changes the franchise system; and</w:t>
      </w:r>
      <w:r w:rsidR="005D2B0E">
        <w:rPr>
          <w:rFonts w:ascii="Arial" w:hAnsi="Arial" w:cs="Arial"/>
          <w:sz w:val="22"/>
          <w:szCs w:val="22"/>
        </w:rPr>
        <w:t xml:space="preserve"> (vi) </w:t>
      </w:r>
      <w:r w:rsidR="00DF22C3" w:rsidRPr="00426AD9">
        <w:rPr>
          <w:rFonts w:ascii="Arial" w:hAnsi="Arial" w:cs="Arial"/>
          <w:sz w:val="22"/>
          <w:szCs w:val="22"/>
        </w:rPr>
        <w:t xml:space="preserve">whether there are any non-competition provisions </w:t>
      </w:r>
      <w:r w:rsidR="00563D64">
        <w:rPr>
          <w:rFonts w:ascii="Arial" w:hAnsi="Arial" w:cs="Arial"/>
          <w:sz w:val="22"/>
          <w:szCs w:val="22"/>
        </w:rPr>
        <w:t xml:space="preserve">which </w:t>
      </w:r>
      <w:r w:rsidR="00563D64" w:rsidRPr="00426AD9">
        <w:rPr>
          <w:rFonts w:ascii="Arial" w:hAnsi="Arial" w:cs="Arial"/>
          <w:sz w:val="22"/>
          <w:szCs w:val="22"/>
        </w:rPr>
        <w:t xml:space="preserve"> </w:t>
      </w:r>
      <w:r w:rsidR="00DF22C3" w:rsidRPr="00426AD9">
        <w:rPr>
          <w:rFonts w:ascii="Arial" w:hAnsi="Arial" w:cs="Arial"/>
          <w:sz w:val="22"/>
          <w:szCs w:val="22"/>
        </w:rPr>
        <w:t xml:space="preserve">limit </w:t>
      </w:r>
      <w:r w:rsidR="00A66AF5">
        <w:rPr>
          <w:rFonts w:ascii="Arial" w:hAnsi="Arial" w:cs="Arial"/>
          <w:sz w:val="22"/>
          <w:szCs w:val="22"/>
        </w:rPr>
        <w:t>the purchaser’s</w:t>
      </w:r>
      <w:r w:rsidR="00DF22C3" w:rsidRPr="00426AD9">
        <w:rPr>
          <w:rFonts w:ascii="Arial" w:hAnsi="Arial" w:cs="Arial"/>
          <w:sz w:val="22"/>
          <w:szCs w:val="22"/>
        </w:rPr>
        <w:t xml:space="preserve"> ability to engage in a similar business once the franchise agreement end</w:t>
      </w:r>
      <w:r w:rsidR="005D4297">
        <w:rPr>
          <w:rFonts w:ascii="Arial" w:hAnsi="Arial" w:cs="Arial"/>
          <w:sz w:val="22"/>
          <w:szCs w:val="22"/>
        </w:rPr>
        <w:t>s</w:t>
      </w:r>
      <w:r w:rsidR="00DF22C3" w:rsidRPr="00426AD9">
        <w:rPr>
          <w:rFonts w:ascii="Arial" w:hAnsi="Arial" w:cs="Arial"/>
          <w:sz w:val="22"/>
          <w:szCs w:val="22"/>
        </w:rPr>
        <w:t>.</w:t>
      </w:r>
      <w:r w:rsidR="00DF22C3">
        <w:rPr>
          <w:rStyle w:val="FootnoteReference"/>
          <w:rFonts w:ascii="Arial" w:hAnsi="Arial" w:cs="Arial"/>
          <w:sz w:val="22"/>
          <w:szCs w:val="22"/>
        </w:rPr>
        <w:footnoteReference w:id="11"/>
      </w:r>
    </w:p>
    <w:p w14:paraId="38B15447" w14:textId="77777777" w:rsidR="00796D3D" w:rsidRDefault="00796D3D" w:rsidP="00796D3D">
      <w:pPr>
        <w:pStyle w:val="OHHpara"/>
        <w:contextualSpacing/>
        <w:rPr>
          <w:rFonts w:ascii="Arial" w:hAnsi="Arial" w:cs="Arial"/>
          <w:sz w:val="22"/>
          <w:szCs w:val="22"/>
        </w:rPr>
      </w:pPr>
    </w:p>
    <w:p w14:paraId="50B17A0B" w14:textId="61C25193" w:rsidR="00E323EE" w:rsidRDefault="001E000D" w:rsidP="00796D3D">
      <w:pPr>
        <w:pStyle w:val="OHHpara"/>
        <w:spacing w:line="480" w:lineRule="auto"/>
        <w:contextualSpacing/>
        <w:rPr>
          <w:rFonts w:ascii="Arial" w:hAnsi="Arial" w:cs="Arial"/>
          <w:sz w:val="22"/>
          <w:szCs w:val="22"/>
        </w:rPr>
      </w:pPr>
      <w:r>
        <w:rPr>
          <w:rFonts w:ascii="Arial" w:hAnsi="Arial" w:cs="Arial"/>
          <w:sz w:val="22"/>
          <w:szCs w:val="22"/>
        </w:rPr>
        <w:t>After reviewing</w:t>
      </w:r>
      <w:r w:rsidR="00E323EE">
        <w:rPr>
          <w:rFonts w:ascii="Arial" w:hAnsi="Arial" w:cs="Arial"/>
          <w:sz w:val="22"/>
          <w:szCs w:val="22"/>
        </w:rPr>
        <w:t xml:space="preserve"> the purchase agreement, disclosure document and franchise agreement</w:t>
      </w:r>
      <w:r w:rsidR="00E323EE" w:rsidRPr="00E323EE">
        <w:rPr>
          <w:rFonts w:ascii="Arial" w:hAnsi="Arial" w:cs="Arial"/>
          <w:sz w:val="22"/>
          <w:szCs w:val="22"/>
        </w:rPr>
        <w:t xml:space="preserve">, it is best practice </w:t>
      </w:r>
      <w:r w:rsidR="004103C2">
        <w:rPr>
          <w:rFonts w:ascii="Arial" w:hAnsi="Arial" w:cs="Arial"/>
          <w:sz w:val="22"/>
          <w:szCs w:val="22"/>
        </w:rPr>
        <w:t xml:space="preserve">for the lawyer </w:t>
      </w:r>
      <w:r w:rsidR="00E323EE" w:rsidRPr="00E323EE">
        <w:rPr>
          <w:rFonts w:ascii="Arial" w:hAnsi="Arial" w:cs="Arial"/>
          <w:sz w:val="22"/>
          <w:szCs w:val="22"/>
        </w:rPr>
        <w:t>to provide</w:t>
      </w:r>
      <w:r w:rsidR="004103C2">
        <w:rPr>
          <w:rFonts w:ascii="Arial" w:hAnsi="Arial" w:cs="Arial"/>
          <w:sz w:val="22"/>
          <w:szCs w:val="22"/>
        </w:rPr>
        <w:t xml:space="preserve"> the</w:t>
      </w:r>
      <w:r w:rsidR="00E323EE" w:rsidRPr="00E323EE">
        <w:rPr>
          <w:rFonts w:ascii="Arial" w:hAnsi="Arial" w:cs="Arial"/>
          <w:sz w:val="22"/>
          <w:szCs w:val="22"/>
        </w:rPr>
        <w:t xml:space="preserve"> client with a written report </w:t>
      </w:r>
      <w:r w:rsidR="001F29AB">
        <w:rPr>
          <w:rFonts w:ascii="Arial" w:hAnsi="Arial" w:cs="Arial"/>
          <w:sz w:val="22"/>
          <w:szCs w:val="22"/>
        </w:rPr>
        <w:t xml:space="preserve">summarizing </w:t>
      </w:r>
      <w:r w:rsidR="004103C2">
        <w:rPr>
          <w:rFonts w:ascii="Arial" w:hAnsi="Arial" w:cs="Arial"/>
          <w:sz w:val="22"/>
          <w:szCs w:val="22"/>
        </w:rPr>
        <w:t>the lawyer’s</w:t>
      </w:r>
      <w:r w:rsidR="001F29AB">
        <w:rPr>
          <w:rFonts w:ascii="Arial" w:hAnsi="Arial" w:cs="Arial"/>
          <w:sz w:val="22"/>
          <w:szCs w:val="22"/>
        </w:rPr>
        <w:t xml:space="preserve"> findings</w:t>
      </w:r>
      <w:r w:rsidR="00E323EE" w:rsidRPr="00E323EE">
        <w:rPr>
          <w:rFonts w:ascii="Arial" w:hAnsi="Arial" w:cs="Arial"/>
          <w:sz w:val="22"/>
          <w:szCs w:val="22"/>
        </w:rPr>
        <w:t>. Based on</w:t>
      </w:r>
      <w:r w:rsidR="004103C2">
        <w:rPr>
          <w:rFonts w:ascii="Arial" w:hAnsi="Arial" w:cs="Arial"/>
          <w:sz w:val="22"/>
          <w:szCs w:val="22"/>
        </w:rPr>
        <w:t xml:space="preserve"> the lawye</w:t>
      </w:r>
      <w:r w:rsidR="00E323EE" w:rsidRPr="00E323EE">
        <w:rPr>
          <w:rFonts w:ascii="Arial" w:hAnsi="Arial" w:cs="Arial"/>
          <w:sz w:val="22"/>
          <w:szCs w:val="22"/>
        </w:rPr>
        <w:t>r</w:t>
      </w:r>
      <w:r w:rsidR="004103C2">
        <w:rPr>
          <w:rFonts w:ascii="Arial" w:hAnsi="Arial" w:cs="Arial"/>
          <w:sz w:val="22"/>
          <w:szCs w:val="22"/>
        </w:rPr>
        <w:t>’s r</w:t>
      </w:r>
      <w:r w:rsidR="00E323EE" w:rsidRPr="00E323EE">
        <w:rPr>
          <w:rFonts w:ascii="Arial" w:hAnsi="Arial" w:cs="Arial"/>
          <w:sz w:val="22"/>
          <w:szCs w:val="22"/>
        </w:rPr>
        <w:t xml:space="preserve">etainer, such a report </w:t>
      </w:r>
      <w:r w:rsidR="004103C2">
        <w:rPr>
          <w:rFonts w:ascii="Arial" w:hAnsi="Arial" w:cs="Arial"/>
          <w:sz w:val="22"/>
          <w:szCs w:val="22"/>
        </w:rPr>
        <w:t>could</w:t>
      </w:r>
      <w:r w:rsidR="00E323EE" w:rsidRPr="00E323EE">
        <w:rPr>
          <w:rFonts w:ascii="Arial" w:hAnsi="Arial" w:cs="Arial"/>
          <w:sz w:val="22"/>
          <w:szCs w:val="22"/>
        </w:rPr>
        <w:t xml:space="preserve"> include some or all of the following: </w:t>
      </w:r>
      <w:r w:rsidR="00E323EE">
        <w:rPr>
          <w:rFonts w:ascii="Arial" w:hAnsi="Arial" w:cs="Arial"/>
          <w:sz w:val="22"/>
          <w:szCs w:val="22"/>
        </w:rPr>
        <w:t xml:space="preserve">(i) </w:t>
      </w:r>
      <w:r w:rsidR="00E323EE" w:rsidRPr="00E323EE">
        <w:rPr>
          <w:rFonts w:ascii="Arial" w:hAnsi="Arial" w:cs="Arial"/>
          <w:sz w:val="22"/>
          <w:szCs w:val="22"/>
        </w:rPr>
        <w:t>a summary of the franchisor’s and franchisee’s key rights and obligations under the Act</w:t>
      </w:r>
      <w:r w:rsidR="00E323EE">
        <w:rPr>
          <w:rFonts w:ascii="Arial" w:hAnsi="Arial" w:cs="Arial"/>
          <w:sz w:val="22"/>
          <w:szCs w:val="22"/>
        </w:rPr>
        <w:t xml:space="preserve">; (ii) </w:t>
      </w:r>
      <w:r w:rsidR="00E323EE" w:rsidRPr="00E323EE">
        <w:rPr>
          <w:rFonts w:ascii="Arial" w:hAnsi="Arial" w:cs="Arial"/>
          <w:sz w:val="22"/>
          <w:szCs w:val="22"/>
        </w:rPr>
        <w:t xml:space="preserve">the scope and limits of </w:t>
      </w:r>
      <w:r w:rsidR="004103C2">
        <w:rPr>
          <w:rFonts w:ascii="Arial" w:hAnsi="Arial" w:cs="Arial"/>
          <w:sz w:val="22"/>
          <w:szCs w:val="22"/>
        </w:rPr>
        <w:t xml:space="preserve">the </w:t>
      </w:r>
      <w:r w:rsidR="00E323EE" w:rsidRPr="00E323EE">
        <w:rPr>
          <w:rFonts w:ascii="Arial" w:hAnsi="Arial" w:cs="Arial"/>
          <w:sz w:val="22"/>
          <w:szCs w:val="22"/>
        </w:rPr>
        <w:t>review, including any diligence conducted;</w:t>
      </w:r>
      <w:r w:rsidR="00E323EE">
        <w:rPr>
          <w:rFonts w:ascii="Arial" w:hAnsi="Arial" w:cs="Arial"/>
          <w:sz w:val="22"/>
          <w:szCs w:val="22"/>
        </w:rPr>
        <w:t xml:space="preserve"> (iii) </w:t>
      </w:r>
      <w:r w:rsidR="00E323EE" w:rsidRPr="00E323EE">
        <w:rPr>
          <w:rFonts w:ascii="Arial" w:hAnsi="Arial" w:cs="Arial"/>
          <w:sz w:val="22"/>
          <w:szCs w:val="22"/>
        </w:rPr>
        <w:t xml:space="preserve">a summary of </w:t>
      </w:r>
      <w:r w:rsidR="004103C2">
        <w:rPr>
          <w:rFonts w:ascii="Arial" w:hAnsi="Arial" w:cs="Arial"/>
          <w:sz w:val="22"/>
          <w:szCs w:val="22"/>
        </w:rPr>
        <w:t xml:space="preserve">the </w:t>
      </w:r>
      <w:r w:rsidR="00E323EE" w:rsidRPr="00E323EE">
        <w:rPr>
          <w:rFonts w:ascii="Arial" w:hAnsi="Arial" w:cs="Arial"/>
          <w:sz w:val="22"/>
          <w:szCs w:val="22"/>
        </w:rPr>
        <w:t>review of the franchise disclosure document, including any deficiencies, peculiarities, exemptions relied on by the franchisor, and other key areas</w:t>
      </w:r>
      <w:r w:rsidR="00456B57">
        <w:rPr>
          <w:rFonts w:ascii="Arial" w:hAnsi="Arial" w:cs="Arial"/>
          <w:sz w:val="22"/>
          <w:szCs w:val="22"/>
        </w:rPr>
        <w:t xml:space="preserve"> of interest for</w:t>
      </w:r>
      <w:r w:rsidR="00E323EE" w:rsidRPr="00E323EE">
        <w:rPr>
          <w:rFonts w:ascii="Arial" w:hAnsi="Arial" w:cs="Arial"/>
          <w:sz w:val="22"/>
          <w:szCs w:val="22"/>
        </w:rPr>
        <w:t xml:space="preserve"> the franchisee;</w:t>
      </w:r>
      <w:r w:rsidR="00E323EE">
        <w:rPr>
          <w:rFonts w:ascii="Arial" w:hAnsi="Arial" w:cs="Arial"/>
          <w:sz w:val="22"/>
          <w:szCs w:val="22"/>
        </w:rPr>
        <w:t xml:space="preserve"> (iv) </w:t>
      </w:r>
      <w:r w:rsidR="004103C2">
        <w:rPr>
          <w:rFonts w:ascii="Arial" w:hAnsi="Arial" w:cs="Arial"/>
          <w:sz w:val="22"/>
          <w:szCs w:val="22"/>
        </w:rPr>
        <w:t>a summary of the</w:t>
      </w:r>
      <w:r w:rsidR="00E323EE" w:rsidRPr="00E323EE">
        <w:rPr>
          <w:rFonts w:ascii="Arial" w:hAnsi="Arial" w:cs="Arial"/>
          <w:sz w:val="22"/>
          <w:szCs w:val="22"/>
        </w:rPr>
        <w:t xml:space="preserve"> review of the </w:t>
      </w:r>
      <w:r w:rsidR="00E323EE">
        <w:rPr>
          <w:rFonts w:ascii="Arial" w:hAnsi="Arial" w:cs="Arial"/>
          <w:sz w:val="22"/>
          <w:szCs w:val="22"/>
        </w:rPr>
        <w:t xml:space="preserve">purchase agreement, </w:t>
      </w:r>
      <w:r w:rsidR="00E323EE" w:rsidRPr="00E323EE">
        <w:rPr>
          <w:rFonts w:ascii="Arial" w:hAnsi="Arial" w:cs="Arial"/>
          <w:sz w:val="22"/>
          <w:szCs w:val="22"/>
        </w:rPr>
        <w:t xml:space="preserve">franchise agreement and ancillary agreements, including the key terms of the </w:t>
      </w:r>
      <w:r w:rsidR="00E323EE">
        <w:rPr>
          <w:rFonts w:ascii="Arial" w:hAnsi="Arial" w:cs="Arial"/>
          <w:sz w:val="22"/>
          <w:szCs w:val="22"/>
        </w:rPr>
        <w:t xml:space="preserve">transaction; (v) </w:t>
      </w:r>
      <w:r w:rsidR="00E323EE" w:rsidRPr="00E323EE">
        <w:rPr>
          <w:rFonts w:ascii="Arial" w:hAnsi="Arial" w:cs="Arial"/>
          <w:sz w:val="22"/>
          <w:szCs w:val="22"/>
        </w:rPr>
        <w:t>a confirmation that you are not providing business or financial advice; and</w:t>
      </w:r>
      <w:r w:rsidR="00E323EE">
        <w:rPr>
          <w:rFonts w:ascii="Arial" w:hAnsi="Arial" w:cs="Arial"/>
          <w:sz w:val="22"/>
          <w:szCs w:val="22"/>
        </w:rPr>
        <w:t xml:space="preserve"> (vi) </w:t>
      </w:r>
      <w:r w:rsidR="00E323EE" w:rsidRPr="00E323EE">
        <w:rPr>
          <w:rFonts w:ascii="Arial" w:hAnsi="Arial" w:cs="Arial"/>
          <w:sz w:val="22"/>
          <w:szCs w:val="22"/>
        </w:rPr>
        <w:t>a summary of the right of rescission and a strong recommendation that your client seek legal advice promptly if they have issues in the future, so as not to be time-barred.</w:t>
      </w:r>
      <w:r w:rsidR="00496172">
        <w:rPr>
          <w:rStyle w:val="FootnoteReference"/>
          <w:rFonts w:ascii="Arial" w:hAnsi="Arial" w:cs="Arial"/>
          <w:sz w:val="22"/>
          <w:szCs w:val="22"/>
        </w:rPr>
        <w:footnoteReference w:id="12"/>
      </w:r>
    </w:p>
    <w:p w14:paraId="5DAA7DC5" w14:textId="77777777" w:rsidR="00357973" w:rsidRDefault="00357973" w:rsidP="004103C2">
      <w:pPr>
        <w:pStyle w:val="OHHpara"/>
        <w:ind w:firstLine="720"/>
        <w:contextualSpacing/>
        <w:rPr>
          <w:rFonts w:ascii="Arial" w:hAnsi="Arial" w:cs="Arial"/>
          <w:sz w:val="22"/>
          <w:szCs w:val="22"/>
        </w:rPr>
      </w:pPr>
    </w:p>
    <w:p w14:paraId="1EBE53F7" w14:textId="0B4B8DA7" w:rsidR="00836EA4" w:rsidRDefault="00DF22C3" w:rsidP="004103C2">
      <w:pPr>
        <w:pStyle w:val="OHHpara"/>
        <w:spacing w:after="0"/>
        <w:ind w:firstLine="720"/>
        <w:contextualSpacing/>
        <w:rPr>
          <w:rFonts w:ascii="Arial" w:hAnsi="Arial" w:cs="Arial"/>
          <w:b/>
          <w:sz w:val="22"/>
          <w:szCs w:val="22"/>
        </w:rPr>
      </w:pPr>
      <w:r>
        <w:rPr>
          <w:rFonts w:ascii="Arial" w:hAnsi="Arial" w:cs="Arial"/>
          <w:b/>
          <w:sz w:val="22"/>
          <w:szCs w:val="22"/>
        </w:rPr>
        <w:t>(b</w:t>
      </w:r>
      <w:r w:rsidR="0037317D">
        <w:rPr>
          <w:rFonts w:ascii="Arial" w:hAnsi="Arial" w:cs="Arial"/>
          <w:b/>
          <w:sz w:val="22"/>
          <w:szCs w:val="22"/>
        </w:rPr>
        <w:t>)</w:t>
      </w:r>
      <w:r w:rsidR="0037317D">
        <w:rPr>
          <w:rFonts w:ascii="Arial" w:hAnsi="Arial" w:cs="Arial"/>
          <w:b/>
          <w:sz w:val="22"/>
          <w:szCs w:val="22"/>
        </w:rPr>
        <w:tab/>
      </w:r>
      <w:r w:rsidR="00836EA4" w:rsidRPr="0037317D">
        <w:rPr>
          <w:rFonts w:ascii="Arial" w:hAnsi="Arial" w:cs="Arial"/>
          <w:b/>
          <w:sz w:val="22"/>
          <w:szCs w:val="22"/>
        </w:rPr>
        <w:t xml:space="preserve">The Challenges and Risks of </w:t>
      </w:r>
      <w:r w:rsidR="00E323EE">
        <w:rPr>
          <w:rFonts w:ascii="Arial" w:hAnsi="Arial" w:cs="Arial"/>
          <w:b/>
          <w:sz w:val="22"/>
          <w:szCs w:val="22"/>
        </w:rPr>
        <w:t>Providing</w:t>
      </w:r>
      <w:r w:rsidR="00E323EE" w:rsidRPr="0037317D">
        <w:rPr>
          <w:rFonts w:ascii="Arial" w:hAnsi="Arial" w:cs="Arial"/>
          <w:b/>
          <w:sz w:val="22"/>
          <w:szCs w:val="22"/>
        </w:rPr>
        <w:t xml:space="preserve"> Independent Legal Advice in the </w:t>
      </w:r>
      <w:r w:rsidR="004103C2">
        <w:rPr>
          <w:rFonts w:ascii="Arial" w:hAnsi="Arial" w:cs="Arial"/>
          <w:b/>
          <w:sz w:val="22"/>
          <w:szCs w:val="22"/>
        </w:rPr>
        <w:tab/>
      </w:r>
      <w:r w:rsidR="004103C2">
        <w:rPr>
          <w:rFonts w:ascii="Arial" w:hAnsi="Arial" w:cs="Arial"/>
          <w:b/>
          <w:sz w:val="22"/>
          <w:szCs w:val="22"/>
        </w:rPr>
        <w:tab/>
      </w:r>
      <w:r w:rsidR="004103C2">
        <w:rPr>
          <w:rFonts w:ascii="Arial" w:hAnsi="Arial" w:cs="Arial"/>
          <w:b/>
          <w:sz w:val="22"/>
          <w:szCs w:val="22"/>
        </w:rPr>
        <w:tab/>
      </w:r>
      <w:r w:rsidR="00E323EE" w:rsidRPr="0037317D">
        <w:rPr>
          <w:rFonts w:ascii="Arial" w:hAnsi="Arial" w:cs="Arial"/>
          <w:b/>
          <w:sz w:val="22"/>
          <w:szCs w:val="22"/>
        </w:rPr>
        <w:t xml:space="preserve">Context of </w:t>
      </w:r>
      <w:r w:rsidR="004103C2">
        <w:rPr>
          <w:rFonts w:ascii="Arial" w:hAnsi="Arial" w:cs="Arial"/>
          <w:b/>
          <w:sz w:val="22"/>
          <w:szCs w:val="22"/>
        </w:rPr>
        <w:t>a Franchisee Resale</w:t>
      </w:r>
    </w:p>
    <w:p w14:paraId="70A7D6A4" w14:textId="77777777" w:rsidR="00357973" w:rsidRPr="0037317D" w:rsidRDefault="00357973" w:rsidP="00836EA4">
      <w:pPr>
        <w:pStyle w:val="OHHpara"/>
        <w:spacing w:after="0" w:line="480" w:lineRule="auto"/>
        <w:ind w:firstLine="720"/>
        <w:contextualSpacing/>
        <w:rPr>
          <w:rFonts w:ascii="Arial" w:hAnsi="Arial" w:cs="Arial"/>
          <w:b/>
          <w:sz w:val="22"/>
          <w:szCs w:val="22"/>
        </w:rPr>
      </w:pPr>
    </w:p>
    <w:p w14:paraId="1788D827" w14:textId="4BD5353F" w:rsidR="002B489A" w:rsidRDefault="0070197D" w:rsidP="00897011">
      <w:pPr>
        <w:pStyle w:val="OHHpara"/>
        <w:spacing w:after="0" w:line="480" w:lineRule="auto"/>
        <w:contextualSpacing/>
        <w:rPr>
          <w:rFonts w:ascii="Arial" w:hAnsi="Arial" w:cs="Arial"/>
          <w:sz w:val="22"/>
          <w:szCs w:val="22"/>
        </w:rPr>
      </w:pPr>
      <w:r>
        <w:rPr>
          <w:rFonts w:ascii="Arial" w:hAnsi="Arial" w:cs="Arial"/>
          <w:sz w:val="22"/>
          <w:szCs w:val="22"/>
        </w:rPr>
        <w:t>Before being retained</w:t>
      </w:r>
      <w:r w:rsidR="006B6A9B">
        <w:rPr>
          <w:rFonts w:ascii="Arial" w:hAnsi="Arial" w:cs="Arial"/>
          <w:sz w:val="22"/>
          <w:szCs w:val="22"/>
        </w:rPr>
        <w:t xml:space="preserve"> to provide independent legal advice</w:t>
      </w:r>
      <w:r>
        <w:rPr>
          <w:rFonts w:ascii="Arial" w:hAnsi="Arial" w:cs="Arial"/>
          <w:sz w:val="22"/>
          <w:szCs w:val="22"/>
        </w:rPr>
        <w:t xml:space="preserve">, it is important to be </w:t>
      </w:r>
      <w:r w:rsidR="006B6A9B">
        <w:rPr>
          <w:rFonts w:ascii="Arial" w:hAnsi="Arial" w:cs="Arial"/>
          <w:sz w:val="22"/>
          <w:szCs w:val="22"/>
        </w:rPr>
        <w:t xml:space="preserve">aware </w:t>
      </w:r>
      <w:r>
        <w:rPr>
          <w:rFonts w:ascii="Arial" w:hAnsi="Arial" w:cs="Arial"/>
          <w:sz w:val="22"/>
          <w:szCs w:val="22"/>
        </w:rPr>
        <w:t xml:space="preserve">of </w:t>
      </w:r>
      <w:r w:rsidR="00A90B96">
        <w:rPr>
          <w:rFonts w:ascii="Arial" w:hAnsi="Arial" w:cs="Arial"/>
          <w:sz w:val="22"/>
          <w:szCs w:val="22"/>
        </w:rPr>
        <w:t>the associated challenges and risks.</w:t>
      </w:r>
      <w:r>
        <w:rPr>
          <w:rFonts w:ascii="Arial" w:hAnsi="Arial" w:cs="Arial"/>
          <w:sz w:val="22"/>
          <w:szCs w:val="22"/>
        </w:rPr>
        <w:t xml:space="preserve"> </w:t>
      </w:r>
      <w:r w:rsidR="003957F1">
        <w:rPr>
          <w:rFonts w:ascii="Arial" w:hAnsi="Arial" w:cs="Arial"/>
          <w:sz w:val="22"/>
          <w:szCs w:val="22"/>
        </w:rPr>
        <w:t>I</w:t>
      </w:r>
      <w:r w:rsidR="00F4668A">
        <w:rPr>
          <w:rFonts w:ascii="Arial" w:hAnsi="Arial" w:cs="Arial"/>
          <w:sz w:val="22"/>
          <w:szCs w:val="22"/>
        </w:rPr>
        <w:t>ndependent legal advice</w:t>
      </w:r>
      <w:r w:rsidR="00BC3164">
        <w:rPr>
          <w:rFonts w:ascii="Arial" w:hAnsi="Arial" w:cs="Arial"/>
          <w:sz w:val="22"/>
          <w:szCs w:val="22"/>
        </w:rPr>
        <w:t xml:space="preserve"> </w:t>
      </w:r>
      <w:r w:rsidR="0031076D">
        <w:rPr>
          <w:rFonts w:ascii="Arial" w:hAnsi="Arial" w:cs="Arial"/>
          <w:sz w:val="22"/>
          <w:szCs w:val="22"/>
        </w:rPr>
        <w:t xml:space="preserve">is </w:t>
      </w:r>
      <w:r w:rsidR="002C3A17">
        <w:rPr>
          <w:rFonts w:ascii="Arial" w:hAnsi="Arial" w:cs="Arial"/>
          <w:sz w:val="22"/>
          <w:szCs w:val="22"/>
        </w:rPr>
        <w:t xml:space="preserve">typically </w:t>
      </w:r>
      <w:r w:rsidR="0031076D">
        <w:rPr>
          <w:rFonts w:ascii="Arial" w:hAnsi="Arial" w:cs="Arial"/>
          <w:sz w:val="22"/>
          <w:szCs w:val="22"/>
        </w:rPr>
        <w:t>short and transactional in nature</w:t>
      </w:r>
      <w:r w:rsidR="003957F1">
        <w:rPr>
          <w:rFonts w:ascii="Arial" w:hAnsi="Arial" w:cs="Arial"/>
          <w:sz w:val="22"/>
          <w:szCs w:val="22"/>
        </w:rPr>
        <w:t xml:space="preserve">. </w:t>
      </w:r>
      <w:r w:rsidR="0031076D">
        <w:rPr>
          <w:rFonts w:ascii="Arial" w:hAnsi="Arial" w:cs="Arial"/>
          <w:sz w:val="22"/>
          <w:szCs w:val="22"/>
        </w:rPr>
        <w:t xml:space="preserve">There is often no pre-existing relationship between the lawyer and the client, and the amount of time spent with the client is often minimal. It may also be </w:t>
      </w:r>
      <w:r w:rsidR="00C40721">
        <w:rPr>
          <w:rFonts w:ascii="Arial" w:hAnsi="Arial" w:cs="Arial"/>
          <w:sz w:val="22"/>
          <w:szCs w:val="22"/>
        </w:rPr>
        <w:t>among the first times</w:t>
      </w:r>
      <w:r w:rsidR="0031076D" w:rsidRPr="0031076D">
        <w:rPr>
          <w:rFonts w:ascii="Arial" w:hAnsi="Arial" w:cs="Arial"/>
          <w:sz w:val="22"/>
          <w:szCs w:val="22"/>
        </w:rPr>
        <w:t xml:space="preserve"> </w:t>
      </w:r>
      <w:r w:rsidR="0031076D">
        <w:rPr>
          <w:rFonts w:ascii="Arial" w:hAnsi="Arial" w:cs="Arial"/>
          <w:sz w:val="22"/>
          <w:szCs w:val="22"/>
        </w:rPr>
        <w:t xml:space="preserve">the </w:t>
      </w:r>
      <w:r w:rsidR="0031076D" w:rsidRPr="0031076D">
        <w:rPr>
          <w:rFonts w:ascii="Arial" w:hAnsi="Arial" w:cs="Arial"/>
          <w:sz w:val="22"/>
          <w:szCs w:val="22"/>
        </w:rPr>
        <w:lastRenderedPageBreak/>
        <w:t>client has met with a lawyer</w:t>
      </w:r>
      <w:r w:rsidR="00C40721">
        <w:rPr>
          <w:rFonts w:ascii="Arial" w:hAnsi="Arial" w:cs="Arial"/>
          <w:sz w:val="22"/>
          <w:szCs w:val="22"/>
        </w:rPr>
        <w:t>,</w:t>
      </w:r>
      <w:r w:rsidR="0031076D" w:rsidRPr="0031076D">
        <w:rPr>
          <w:rFonts w:ascii="Arial" w:hAnsi="Arial" w:cs="Arial"/>
          <w:sz w:val="22"/>
          <w:szCs w:val="22"/>
        </w:rPr>
        <w:t xml:space="preserve"> or</w:t>
      </w:r>
      <w:r w:rsidR="0031076D">
        <w:rPr>
          <w:rFonts w:ascii="Arial" w:hAnsi="Arial" w:cs="Arial"/>
          <w:sz w:val="22"/>
          <w:szCs w:val="22"/>
        </w:rPr>
        <w:t xml:space="preserve"> the client </w:t>
      </w:r>
      <w:r w:rsidR="0031076D" w:rsidRPr="0031076D">
        <w:rPr>
          <w:rFonts w:ascii="Arial" w:hAnsi="Arial" w:cs="Arial"/>
          <w:sz w:val="22"/>
          <w:szCs w:val="22"/>
        </w:rPr>
        <w:t xml:space="preserve">may be </w:t>
      </w:r>
      <w:r w:rsidR="0031076D">
        <w:rPr>
          <w:rFonts w:ascii="Arial" w:hAnsi="Arial" w:cs="Arial"/>
          <w:sz w:val="22"/>
          <w:szCs w:val="22"/>
        </w:rPr>
        <w:t xml:space="preserve">reluctant about obtaining </w:t>
      </w:r>
      <w:r w:rsidR="00BC3164">
        <w:rPr>
          <w:rFonts w:ascii="Arial" w:hAnsi="Arial" w:cs="Arial"/>
          <w:sz w:val="22"/>
          <w:szCs w:val="22"/>
        </w:rPr>
        <w:t>legal advice.</w:t>
      </w:r>
      <w:r w:rsidR="002C3A17">
        <w:rPr>
          <w:rFonts w:ascii="Arial" w:hAnsi="Arial" w:cs="Arial"/>
          <w:sz w:val="22"/>
          <w:szCs w:val="22"/>
        </w:rPr>
        <w:t xml:space="preserve"> Independent legal advic</w:t>
      </w:r>
      <w:r w:rsidR="002C3A17" w:rsidRPr="00897011">
        <w:rPr>
          <w:rFonts w:ascii="Arial" w:hAnsi="Arial" w:cs="Arial"/>
          <w:sz w:val="22"/>
          <w:szCs w:val="22"/>
        </w:rPr>
        <w:t xml:space="preserve">e </w:t>
      </w:r>
      <w:r w:rsidR="006B58FF" w:rsidRPr="00897011">
        <w:rPr>
          <w:rFonts w:ascii="Arial" w:hAnsi="Arial" w:cs="Arial"/>
          <w:sz w:val="22"/>
          <w:szCs w:val="22"/>
        </w:rPr>
        <w:t>may</w:t>
      </w:r>
      <w:r w:rsidR="006B58FF">
        <w:rPr>
          <w:rFonts w:ascii="Arial" w:hAnsi="Arial" w:cs="Arial"/>
          <w:sz w:val="22"/>
          <w:szCs w:val="22"/>
        </w:rPr>
        <w:t xml:space="preserve"> </w:t>
      </w:r>
      <w:r w:rsidR="002C3A17">
        <w:rPr>
          <w:rFonts w:ascii="Arial" w:hAnsi="Arial" w:cs="Arial"/>
          <w:sz w:val="22"/>
          <w:szCs w:val="22"/>
        </w:rPr>
        <w:t xml:space="preserve">also </w:t>
      </w:r>
      <w:r w:rsidR="00A171BD">
        <w:rPr>
          <w:rFonts w:ascii="Arial" w:hAnsi="Arial" w:cs="Arial"/>
          <w:sz w:val="22"/>
          <w:szCs w:val="22"/>
        </w:rPr>
        <w:t xml:space="preserve">be </w:t>
      </w:r>
      <w:r w:rsidR="002C3A17">
        <w:rPr>
          <w:rFonts w:ascii="Arial" w:hAnsi="Arial" w:cs="Arial"/>
          <w:sz w:val="22"/>
          <w:szCs w:val="22"/>
        </w:rPr>
        <w:t>a time consuming process</w:t>
      </w:r>
      <w:r w:rsidR="002C3A17" w:rsidRPr="002C3A17">
        <w:rPr>
          <w:rFonts w:ascii="Arial" w:hAnsi="Arial" w:cs="Arial"/>
          <w:sz w:val="22"/>
          <w:szCs w:val="22"/>
        </w:rPr>
        <w:t xml:space="preserve"> </w:t>
      </w:r>
      <w:r w:rsidR="002C3A17">
        <w:rPr>
          <w:rFonts w:ascii="Arial" w:hAnsi="Arial" w:cs="Arial"/>
          <w:sz w:val="22"/>
          <w:szCs w:val="22"/>
        </w:rPr>
        <w:t xml:space="preserve">with low remuneration. As a result, </w:t>
      </w:r>
      <w:r w:rsidR="00BC3164">
        <w:rPr>
          <w:rFonts w:ascii="Arial" w:hAnsi="Arial" w:cs="Arial"/>
          <w:sz w:val="22"/>
          <w:szCs w:val="22"/>
        </w:rPr>
        <w:t xml:space="preserve">there </w:t>
      </w:r>
      <w:r w:rsidR="00897011">
        <w:rPr>
          <w:rFonts w:ascii="Arial" w:hAnsi="Arial" w:cs="Arial"/>
          <w:sz w:val="22"/>
          <w:szCs w:val="22"/>
        </w:rPr>
        <w:t xml:space="preserve">tends to be </w:t>
      </w:r>
      <w:r w:rsidR="00BC3164">
        <w:rPr>
          <w:rFonts w:ascii="Arial" w:hAnsi="Arial" w:cs="Arial"/>
          <w:sz w:val="22"/>
          <w:szCs w:val="22"/>
        </w:rPr>
        <w:t xml:space="preserve">a </w:t>
      </w:r>
      <w:r w:rsidR="00FD24AA">
        <w:rPr>
          <w:rFonts w:ascii="Arial" w:hAnsi="Arial" w:cs="Arial"/>
          <w:sz w:val="22"/>
          <w:szCs w:val="22"/>
        </w:rPr>
        <w:t xml:space="preserve">mistaken </w:t>
      </w:r>
      <w:r w:rsidR="00BC3164">
        <w:rPr>
          <w:rFonts w:ascii="Arial" w:hAnsi="Arial" w:cs="Arial"/>
          <w:sz w:val="22"/>
          <w:szCs w:val="22"/>
        </w:rPr>
        <w:t>tendency to view these sessions as simple matters</w:t>
      </w:r>
      <w:r w:rsidR="002C3A17">
        <w:rPr>
          <w:rFonts w:ascii="Arial" w:hAnsi="Arial" w:cs="Arial"/>
          <w:sz w:val="22"/>
          <w:szCs w:val="22"/>
        </w:rPr>
        <w:t xml:space="preserve"> requiring minimal attention.</w:t>
      </w:r>
      <w:r w:rsidR="00BC76AD">
        <w:rPr>
          <w:rStyle w:val="FootnoteReference"/>
          <w:rFonts w:ascii="Arial" w:hAnsi="Arial" w:cs="Arial"/>
          <w:sz w:val="22"/>
          <w:szCs w:val="22"/>
        </w:rPr>
        <w:footnoteReference w:id="13"/>
      </w:r>
      <w:r w:rsidR="002C3A17">
        <w:rPr>
          <w:rFonts w:ascii="Arial" w:hAnsi="Arial" w:cs="Arial"/>
          <w:sz w:val="22"/>
          <w:szCs w:val="22"/>
        </w:rPr>
        <w:t xml:space="preserve"> However, t</w:t>
      </w:r>
      <w:r w:rsidR="003957F1">
        <w:rPr>
          <w:rFonts w:ascii="Arial" w:hAnsi="Arial" w:cs="Arial"/>
          <w:sz w:val="22"/>
          <w:szCs w:val="22"/>
        </w:rPr>
        <w:t xml:space="preserve">he standard of care for independent legal advice is </w:t>
      </w:r>
      <w:r w:rsidR="00F242DD">
        <w:rPr>
          <w:rFonts w:ascii="Arial" w:hAnsi="Arial" w:cs="Arial"/>
          <w:sz w:val="22"/>
          <w:szCs w:val="22"/>
        </w:rPr>
        <w:t>identical to that which applies</w:t>
      </w:r>
      <w:r w:rsidR="003957F1">
        <w:rPr>
          <w:rFonts w:ascii="Arial" w:hAnsi="Arial" w:cs="Arial"/>
          <w:sz w:val="22"/>
          <w:szCs w:val="22"/>
        </w:rPr>
        <w:t xml:space="preserve"> for any other type of legal </w:t>
      </w:r>
      <w:r w:rsidR="000B772A">
        <w:rPr>
          <w:rFonts w:ascii="Arial" w:hAnsi="Arial" w:cs="Arial"/>
          <w:sz w:val="22"/>
          <w:szCs w:val="22"/>
        </w:rPr>
        <w:t>retainer</w:t>
      </w:r>
      <w:r w:rsidR="003957F1">
        <w:rPr>
          <w:rFonts w:ascii="Arial" w:hAnsi="Arial" w:cs="Arial"/>
          <w:sz w:val="22"/>
          <w:szCs w:val="22"/>
        </w:rPr>
        <w:t xml:space="preserve">. </w:t>
      </w:r>
      <w:r w:rsidR="00F83525">
        <w:rPr>
          <w:rFonts w:ascii="Arial" w:hAnsi="Arial" w:cs="Arial"/>
          <w:sz w:val="22"/>
          <w:szCs w:val="22"/>
        </w:rPr>
        <w:t>Regardless of the relative complexity or size of the matter, t</w:t>
      </w:r>
      <w:r w:rsidR="003957F1">
        <w:rPr>
          <w:rFonts w:ascii="Arial" w:hAnsi="Arial" w:cs="Arial"/>
          <w:sz w:val="22"/>
          <w:szCs w:val="22"/>
        </w:rPr>
        <w:t xml:space="preserve">he lawyer still owes the client </w:t>
      </w:r>
      <w:r w:rsidR="00680ED7">
        <w:rPr>
          <w:rFonts w:ascii="Arial" w:hAnsi="Arial" w:cs="Arial"/>
          <w:sz w:val="22"/>
          <w:szCs w:val="22"/>
        </w:rPr>
        <w:t>duties</w:t>
      </w:r>
      <w:r w:rsidR="00897011">
        <w:rPr>
          <w:rFonts w:ascii="Arial" w:hAnsi="Arial" w:cs="Arial"/>
          <w:sz w:val="22"/>
          <w:szCs w:val="22"/>
        </w:rPr>
        <w:t xml:space="preserve"> </w:t>
      </w:r>
      <w:r w:rsidR="003957F1">
        <w:rPr>
          <w:rFonts w:ascii="Arial" w:hAnsi="Arial" w:cs="Arial"/>
          <w:sz w:val="22"/>
          <w:szCs w:val="22"/>
        </w:rPr>
        <w:t>of competence, quality o</w:t>
      </w:r>
      <w:r w:rsidR="00F83525">
        <w:rPr>
          <w:rFonts w:ascii="Arial" w:hAnsi="Arial" w:cs="Arial"/>
          <w:sz w:val="22"/>
          <w:szCs w:val="22"/>
        </w:rPr>
        <w:t>f service, candour, and honesty</w:t>
      </w:r>
      <w:r w:rsidR="00C41E67">
        <w:rPr>
          <w:rFonts w:ascii="Arial" w:hAnsi="Arial" w:cs="Arial"/>
          <w:sz w:val="22"/>
          <w:szCs w:val="22"/>
        </w:rPr>
        <w:t>.</w:t>
      </w:r>
      <w:r w:rsidR="003957F1">
        <w:rPr>
          <w:rStyle w:val="FootnoteReference"/>
          <w:rFonts w:ascii="Arial" w:hAnsi="Arial" w:cs="Arial"/>
          <w:sz w:val="22"/>
          <w:szCs w:val="22"/>
        </w:rPr>
        <w:footnoteReference w:id="14"/>
      </w:r>
      <w:r w:rsidR="00C41E67">
        <w:rPr>
          <w:rFonts w:ascii="Arial" w:hAnsi="Arial" w:cs="Arial"/>
          <w:sz w:val="22"/>
          <w:szCs w:val="22"/>
        </w:rPr>
        <w:t xml:space="preserve"> </w:t>
      </w:r>
      <w:r w:rsidR="007A29FE">
        <w:rPr>
          <w:rFonts w:ascii="Arial" w:hAnsi="Arial" w:cs="Arial"/>
          <w:sz w:val="22"/>
          <w:szCs w:val="22"/>
        </w:rPr>
        <w:t xml:space="preserve">A lawyer who </w:t>
      </w:r>
      <w:r w:rsidR="00A66AF5">
        <w:rPr>
          <w:rFonts w:ascii="Arial" w:hAnsi="Arial" w:cs="Arial"/>
          <w:sz w:val="22"/>
          <w:szCs w:val="22"/>
        </w:rPr>
        <w:t>does otherwise</w:t>
      </w:r>
      <w:r w:rsidR="001E3C7B">
        <w:rPr>
          <w:rFonts w:ascii="Arial" w:hAnsi="Arial" w:cs="Arial"/>
          <w:sz w:val="22"/>
          <w:szCs w:val="22"/>
        </w:rPr>
        <w:t xml:space="preserve"> </w:t>
      </w:r>
      <w:r w:rsidR="007A29FE">
        <w:rPr>
          <w:rFonts w:ascii="Arial" w:hAnsi="Arial" w:cs="Arial"/>
          <w:sz w:val="22"/>
          <w:szCs w:val="22"/>
        </w:rPr>
        <w:t xml:space="preserve">violates </w:t>
      </w:r>
      <w:r w:rsidR="00A66AF5">
        <w:rPr>
          <w:rFonts w:ascii="Arial" w:hAnsi="Arial" w:cs="Arial"/>
          <w:sz w:val="22"/>
          <w:szCs w:val="22"/>
        </w:rPr>
        <w:t xml:space="preserve">his or her </w:t>
      </w:r>
      <w:r w:rsidR="007A595B">
        <w:rPr>
          <w:rFonts w:ascii="Arial" w:hAnsi="Arial" w:cs="Arial"/>
          <w:sz w:val="22"/>
          <w:szCs w:val="22"/>
        </w:rPr>
        <w:t xml:space="preserve">professional </w:t>
      </w:r>
      <w:r w:rsidR="007A29FE">
        <w:rPr>
          <w:rFonts w:ascii="Arial" w:hAnsi="Arial" w:cs="Arial"/>
          <w:sz w:val="22"/>
          <w:szCs w:val="22"/>
        </w:rPr>
        <w:t xml:space="preserve">obligations under the </w:t>
      </w:r>
      <w:r w:rsidR="007A29FE" w:rsidRPr="00BC76AD">
        <w:rPr>
          <w:rFonts w:ascii="Arial" w:hAnsi="Arial" w:cs="Arial"/>
          <w:i/>
          <w:sz w:val="22"/>
          <w:szCs w:val="22"/>
        </w:rPr>
        <w:t xml:space="preserve">Rules of Professional Conduct </w:t>
      </w:r>
      <w:r w:rsidR="007A29FE">
        <w:rPr>
          <w:rFonts w:ascii="Arial" w:hAnsi="Arial" w:cs="Arial"/>
          <w:sz w:val="22"/>
          <w:szCs w:val="22"/>
        </w:rPr>
        <w:t xml:space="preserve">and </w:t>
      </w:r>
      <w:r w:rsidR="001E3C7B">
        <w:rPr>
          <w:rFonts w:ascii="Arial" w:hAnsi="Arial" w:cs="Arial"/>
          <w:sz w:val="22"/>
          <w:szCs w:val="22"/>
        </w:rPr>
        <w:t>risk</w:t>
      </w:r>
      <w:r w:rsidR="005202C1">
        <w:rPr>
          <w:rFonts w:ascii="Arial" w:hAnsi="Arial" w:cs="Arial"/>
          <w:sz w:val="22"/>
          <w:szCs w:val="22"/>
        </w:rPr>
        <w:t>s</w:t>
      </w:r>
      <w:r w:rsidR="001E3C7B">
        <w:rPr>
          <w:rFonts w:ascii="Arial" w:hAnsi="Arial" w:cs="Arial"/>
          <w:sz w:val="22"/>
          <w:szCs w:val="22"/>
        </w:rPr>
        <w:t xml:space="preserve"> a professional liability claim</w:t>
      </w:r>
      <w:r w:rsidR="00750432">
        <w:rPr>
          <w:rFonts w:ascii="Arial" w:hAnsi="Arial" w:cs="Arial"/>
          <w:sz w:val="22"/>
          <w:szCs w:val="22"/>
        </w:rPr>
        <w:t>.</w:t>
      </w:r>
      <w:r w:rsidR="002B489A">
        <w:rPr>
          <w:rFonts w:ascii="Arial" w:hAnsi="Arial" w:cs="Arial"/>
          <w:sz w:val="22"/>
          <w:szCs w:val="22"/>
        </w:rPr>
        <w:t xml:space="preserve"> </w:t>
      </w:r>
      <w:r w:rsidR="00B601E4">
        <w:rPr>
          <w:rFonts w:ascii="Arial" w:hAnsi="Arial" w:cs="Arial"/>
          <w:sz w:val="22"/>
          <w:szCs w:val="22"/>
        </w:rPr>
        <w:t>Take the following example:</w:t>
      </w:r>
      <w:r w:rsidR="00BC76AD">
        <w:rPr>
          <w:rFonts w:ascii="Arial" w:hAnsi="Arial" w:cs="Arial"/>
          <w:sz w:val="22"/>
          <w:szCs w:val="22"/>
        </w:rPr>
        <w:t xml:space="preserve"> a </w:t>
      </w:r>
      <w:r w:rsidR="003957F1">
        <w:rPr>
          <w:rFonts w:ascii="Arial" w:hAnsi="Arial" w:cs="Arial"/>
          <w:sz w:val="22"/>
          <w:szCs w:val="22"/>
        </w:rPr>
        <w:t xml:space="preserve">lawyer </w:t>
      </w:r>
      <w:r w:rsidR="00BC76AD">
        <w:rPr>
          <w:rFonts w:ascii="Arial" w:hAnsi="Arial" w:cs="Arial"/>
          <w:sz w:val="22"/>
          <w:szCs w:val="22"/>
        </w:rPr>
        <w:t xml:space="preserve">was </w:t>
      </w:r>
      <w:r w:rsidR="003957F1">
        <w:rPr>
          <w:rFonts w:ascii="Arial" w:hAnsi="Arial" w:cs="Arial"/>
          <w:sz w:val="22"/>
          <w:szCs w:val="22"/>
        </w:rPr>
        <w:t>retained</w:t>
      </w:r>
      <w:r w:rsidR="0027287D">
        <w:rPr>
          <w:rFonts w:ascii="Arial" w:hAnsi="Arial" w:cs="Arial"/>
          <w:sz w:val="22"/>
          <w:szCs w:val="22"/>
        </w:rPr>
        <w:t xml:space="preserve"> by a prospective purchaser to </w:t>
      </w:r>
      <w:r w:rsidR="001319B7">
        <w:rPr>
          <w:rFonts w:ascii="Arial" w:hAnsi="Arial" w:cs="Arial"/>
          <w:sz w:val="22"/>
          <w:szCs w:val="22"/>
        </w:rPr>
        <w:t>give advice about fran</w:t>
      </w:r>
      <w:r w:rsidR="008C7792">
        <w:rPr>
          <w:rFonts w:ascii="Arial" w:hAnsi="Arial" w:cs="Arial"/>
          <w:sz w:val="22"/>
          <w:szCs w:val="22"/>
        </w:rPr>
        <w:t xml:space="preserve">chise law in the context of a </w:t>
      </w:r>
      <w:r w:rsidR="00505FF5">
        <w:rPr>
          <w:rFonts w:ascii="Arial" w:hAnsi="Arial" w:cs="Arial"/>
          <w:sz w:val="22"/>
          <w:szCs w:val="22"/>
        </w:rPr>
        <w:t>franchisee resale</w:t>
      </w:r>
      <w:r w:rsidR="003957F1">
        <w:rPr>
          <w:rFonts w:ascii="Arial" w:hAnsi="Arial" w:cs="Arial"/>
          <w:sz w:val="22"/>
          <w:szCs w:val="22"/>
        </w:rPr>
        <w:t xml:space="preserve">, but </w:t>
      </w:r>
      <w:r w:rsidR="00BC76AD">
        <w:rPr>
          <w:rFonts w:ascii="Arial" w:hAnsi="Arial" w:cs="Arial"/>
          <w:sz w:val="22"/>
          <w:szCs w:val="22"/>
        </w:rPr>
        <w:t>failed</w:t>
      </w:r>
      <w:r w:rsidR="00897011">
        <w:rPr>
          <w:rFonts w:ascii="Arial" w:hAnsi="Arial" w:cs="Arial"/>
          <w:sz w:val="22"/>
          <w:szCs w:val="22"/>
        </w:rPr>
        <w:t xml:space="preserve"> to inform the client of its</w:t>
      </w:r>
      <w:r w:rsidR="003957F1">
        <w:rPr>
          <w:rFonts w:ascii="Arial" w:hAnsi="Arial" w:cs="Arial"/>
          <w:sz w:val="22"/>
          <w:szCs w:val="22"/>
        </w:rPr>
        <w:t xml:space="preserve"> rescission right. </w:t>
      </w:r>
      <w:r w:rsidR="00F83525">
        <w:rPr>
          <w:rFonts w:ascii="Arial" w:hAnsi="Arial" w:cs="Arial"/>
          <w:sz w:val="22"/>
          <w:szCs w:val="22"/>
        </w:rPr>
        <w:t xml:space="preserve">If a rescission claim arises and the client fails to exercise </w:t>
      </w:r>
      <w:r w:rsidR="00897011">
        <w:rPr>
          <w:rFonts w:ascii="Arial" w:hAnsi="Arial" w:cs="Arial"/>
          <w:sz w:val="22"/>
          <w:szCs w:val="22"/>
        </w:rPr>
        <w:t>its</w:t>
      </w:r>
      <w:r w:rsidR="00F83525">
        <w:rPr>
          <w:rFonts w:ascii="Arial" w:hAnsi="Arial" w:cs="Arial"/>
          <w:sz w:val="22"/>
          <w:szCs w:val="22"/>
        </w:rPr>
        <w:t xml:space="preserve"> rescission right within the two year </w:t>
      </w:r>
      <w:r w:rsidR="00897011">
        <w:rPr>
          <w:rFonts w:ascii="Arial" w:hAnsi="Arial" w:cs="Arial"/>
          <w:sz w:val="22"/>
          <w:szCs w:val="22"/>
        </w:rPr>
        <w:t xml:space="preserve">statutory </w:t>
      </w:r>
      <w:r w:rsidR="00F83525">
        <w:rPr>
          <w:rFonts w:ascii="Arial" w:hAnsi="Arial" w:cs="Arial"/>
          <w:sz w:val="22"/>
          <w:szCs w:val="22"/>
        </w:rPr>
        <w:t>period</w:t>
      </w:r>
      <w:r w:rsidR="00897011">
        <w:rPr>
          <w:rFonts w:ascii="Arial" w:hAnsi="Arial" w:cs="Arial"/>
          <w:sz w:val="22"/>
          <w:szCs w:val="22"/>
        </w:rPr>
        <w:t xml:space="preserve"> under the Act</w:t>
      </w:r>
      <w:r w:rsidR="00F83525">
        <w:rPr>
          <w:rFonts w:ascii="Arial" w:hAnsi="Arial" w:cs="Arial"/>
          <w:sz w:val="22"/>
          <w:szCs w:val="22"/>
        </w:rPr>
        <w:t>, it is very likely that the client will start a claim against</w:t>
      </w:r>
      <w:r w:rsidR="007A595B">
        <w:rPr>
          <w:rFonts w:ascii="Arial" w:hAnsi="Arial" w:cs="Arial"/>
          <w:sz w:val="22"/>
          <w:szCs w:val="22"/>
        </w:rPr>
        <w:t xml:space="preserve"> the lawyer due to the omission in the advice.</w:t>
      </w:r>
      <w:r w:rsidR="00F83525">
        <w:rPr>
          <w:rFonts w:ascii="Arial" w:hAnsi="Arial" w:cs="Arial"/>
          <w:sz w:val="22"/>
          <w:szCs w:val="22"/>
        </w:rPr>
        <w:t xml:space="preserve"> </w:t>
      </w:r>
    </w:p>
    <w:p w14:paraId="7923A272" w14:textId="77777777" w:rsidR="00897011" w:rsidRDefault="00897011" w:rsidP="00897011">
      <w:pPr>
        <w:pStyle w:val="OHHpara"/>
        <w:spacing w:after="0"/>
        <w:contextualSpacing/>
        <w:rPr>
          <w:rFonts w:ascii="Arial" w:hAnsi="Arial" w:cs="Arial"/>
          <w:sz w:val="22"/>
          <w:szCs w:val="22"/>
        </w:rPr>
      </w:pPr>
    </w:p>
    <w:p w14:paraId="6A85DBF7" w14:textId="4D6893AB" w:rsidR="003957F1" w:rsidRDefault="002B489A" w:rsidP="00897011">
      <w:pPr>
        <w:pStyle w:val="OHHpara"/>
        <w:spacing w:after="0" w:line="480" w:lineRule="auto"/>
        <w:contextualSpacing/>
        <w:rPr>
          <w:rFonts w:ascii="Arial" w:hAnsi="Arial" w:cs="Arial"/>
          <w:sz w:val="22"/>
          <w:szCs w:val="22"/>
        </w:rPr>
      </w:pPr>
      <w:r>
        <w:rPr>
          <w:rFonts w:ascii="Arial" w:hAnsi="Arial" w:cs="Arial"/>
          <w:sz w:val="22"/>
          <w:szCs w:val="22"/>
        </w:rPr>
        <w:t xml:space="preserve">In light of these challenges and risks, the scope of the </w:t>
      </w:r>
      <w:r w:rsidR="00A8339B">
        <w:rPr>
          <w:rFonts w:ascii="Arial" w:hAnsi="Arial" w:cs="Arial"/>
          <w:sz w:val="22"/>
          <w:szCs w:val="22"/>
        </w:rPr>
        <w:t xml:space="preserve">lawyer’s </w:t>
      </w:r>
      <w:r>
        <w:rPr>
          <w:rFonts w:ascii="Arial" w:hAnsi="Arial" w:cs="Arial"/>
          <w:sz w:val="22"/>
          <w:szCs w:val="22"/>
        </w:rPr>
        <w:t>retainer should be clearly outlined with the client. This includes allocating a sufficient amount of time to complete the review and ensuring that the retainer reflects the work to be done. The lawyer should be upfront with the client to ensure that they have realistic expectations of the legal services that will be provided</w:t>
      </w:r>
      <w:r w:rsidR="004E0378">
        <w:rPr>
          <w:rFonts w:ascii="Arial" w:hAnsi="Arial" w:cs="Arial"/>
          <w:sz w:val="22"/>
          <w:szCs w:val="22"/>
        </w:rPr>
        <w:t xml:space="preserve">. The </w:t>
      </w:r>
      <w:r w:rsidR="00F83525">
        <w:rPr>
          <w:rFonts w:ascii="Arial" w:hAnsi="Arial" w:cs="Arial"/>
          <w:sz w:val="22"/>
          <w:szCs w:val="22"/>
        </w:rPr>
        <w:t xml:space="preserve">lawyer must </w:t>
      </w:r>
      <w:r w:rsidR="00EC5A03">
        <w:rPr>
          <w:rFonts w:ascii="Arial" w:hAnsi="Arial" w:cs="Arial"/>
          <w:sz w:val="22"/>
          <w:szCs w:val="22"/>
        </w:rPr>
        <w:t xml:space="preserve">also </w:t>
      </w:r>
      <w:r w:rsidR="00F83525">
        <w:rPr>
          <w:rFonts w:ascii="Arial" w:hAnsi="Arial" w:cs="Arial"/>
          <w:sz w:val="22"/>
          <w:szCs w:val="22"/>
        </w:rPr>
        <w:t>assess whether it is possible</w:t>
      </w:r>
      <w:r w:rsidR="009B7B96">
        <w:rPr>
          <w:rFonts w:ascii="Arial" w:hAnsi="Arial" w:cs="Arial"/>
          <w:sz w:val="22"/>
          <w:szCs w:val="22"/>
        </w:rPr>
        <w:t xml:space="preserve"> to meet </w:t>
      </w:r>
      <w:r w:rsidR="008C7792">
        <w:rPr>
          <w:rFonts w:ascii="Arial" w:hAnsi="Arial" w:cs="Arial"/>
          <w:sz w:val="22"/>
          <w:szCs w:val="22"/>
        </w:rPr>
        <w:t xml:space="preserve">the </w:t>
      </w:r>
      <w:r w:rsidR="009B7B96">
        <w:rPr>
          <w:rFonts w:ascii="Arial" w:hAnsi="Arial" w:cs="Arial"/>
          <w:sz w:val="22"/>
          <w:szCs w:val="22"/>
        </w:rPr>
        <w:t xml:space="preserve">standard of care </w:t>
      </w:r>
      <w:r w:rsidR="008C7792">
        <w:rPr>
          <w:rFonts w:ascii="Arial" w:hAnsi="Arial" w:cs="Arial"/>
          <w:sz w:val="22"/>
          <w:szCs w:val="22"/>
        </w:rPr>
        <w:t>in the circumstances</w:t>
      </w:r>
      <w:r w:rsidR="00C65FEC">
        <w:rPr>
          <w:rFonts w:ascii="Arial" w:hAnsi="Arial" w:cs="Arial"/>
          <w:sz w:val="22"/>
          <w:szCs w:val="22"/>
        </w:rPr>
        <w:t>,</w:t>
      </w:r>
      <w:r w:rsidR="009B7B96">
        <w:rPr>
          <w:rFonts w:ascii="Arial" w:hAnsi="Arial" w:cs="Arial"/>
          <w:sz w:val="22"/>
          <w:szCs w:val="22"/>
        </w:rPr>
        <w:t xml:space="preserve"> taking into account</w:t>
      </w:r>
      <w:r w:rsidR="00F83525">
        <w:rPr>
          <w:rFonts w:ascii="Arial" w:hAnsi="Arial" w:cs="Arial"/>
          <w:sz w:val="22"/>
          <w:szCs w:val="22"/>
        </w:rPr>
        <w:t xml:space="preserve"> the client’s budget and the amount of work needed to ensure the client fully understand the transaction </w:t>
      </w:r>
      <w:r w:rsidR="008C7792">
        <w:rPr>
          <w:rFonts w:ascii="Arial" w:hAnsi="Arial" w:cs="Arial"/>
          <w:sz w:val="22"/>
          <w:szCs w:val="22"/>
        </w:rPr>
        <w:t>and</w:t>
      </w:r>
      <w:r w:rsidR="00F83525">
        <w:rPr>
          <w:rFonts w:ascii="Arial" w:hAnsi="Arial" w:cs="Arial"/>
          <w:sz w:val="22"/>
          <w:szCs w:val="22"/>
        </w:rPr>
        <w:t xml:space="preserve"> its consequences</w:t>
      </w:r>
      <w:r w:rsidR="008C7792">
        <w:rPr>
          <w:rFonts w:ascii="Arial" w:hAnsi="Arial" w:cs="Arial"/>
          <w:sz w:val="22"/>
          <w:szCs w:val="22"/>
        </w:rPr>
        <w:t xml:space="preserve">. </w:t>
      </w:r>
      <w:r w:rsidR="00F83525">
        <w:rPr>
          <w:rFonts w:ascii="Arial" w:hAnsi="Arial" w:cs="Arial"/>
          <w:sz w:val="22"/>
          <w:szCs w:val="22"/>
        </w:rPr>
        <w:t>If it is not possible to</w:t>
      </w:r>
      <w:r w:rsidR="00A74273">
        <w:rPr>
          <w:rFonts w:ascii="Arial" w:hAnsi="Arial" w:cs="Arial"/>
          <w:sz w:val="22"/>
          <w:szCs w:val="22"/>
        </w:rPr>
        <w:t xml:space="preserve"> meet the standard of care</w:t>
      </w:r>
      <w:r w:rsidR="00F83525">
        <w:rPr>
          <w:rFonts w:ascii="Arial" w:hAnsi="Arial" w:cs="Arial"/>
          <w:sz w:val="22"/>
          <w:szCs w:val="22"/>
        </w:rPr>
        <w:t xml:space="preserve">, </w:t>
      </w:r>
      <w:r>
        <w:rPr>
          <w:rFonts w:ascii="Arial" w:hAnsi="Arial" w:cs="Arial"/>
          <w:sz w:val="22"/>
          <w:szCs w:val="22"/>
        </w:rPr>
        <w:t>consider whether to</w:t>
      </w:r>
      <w:r w:rsidR="00F83525">
        <w:rPr>
          <w:rFonts w:ascii="Arial" w:hAnsi="Arial" w:cs="Arial"/>
          <w:sz w:val="22"/>
          <w:szCs w:val="22"/>
        </w:rPr>
        <w:t xml:space="preserve"> </w:t>
      </w:r>
      <w:r>
        <w:rPr>
          <w:rFonts w:ascii="Arial" w:hAnsi="Arial" w:cs="Arial"/>
          <w:sz w:val="22"/>
          <w:szCs w:val="22"/>
        </w:rPr>
        <w:t>decline</w:t>
      </w:r>
      <w:r w:rsidR="004E0378">
        <w:rPr>
          <w:rFonts w:ascii="Arial" w:hAnsi="Arial" w:cs="Arial"/>
          <w:sz w:val="22"/>
          <w:szCs w:val="22"/>
        </w:rPr>
        <w:t xml:space="preserve"> the retainer or negotiate an extended retainer for any services outside of this scope. </w:t>
      </w:r>
    </w:p>
    <w:p w14:paraId="3FFB8DAB" w14:textId="77777777" w:rsidR="00C777B5" w:rsidRDefault="00C777B5" w:rsidP="00781639">
      <w:pPr>
        <w:pStyle w:val="OHHpara"/>
        <w:spacing w:after="0" w:line="480" w:lineRule="auto"/>
        <w:ind w:firstLine="720"/>
        <w:contextualSpacing/>
        <w:rPr>
          <w:rFonts w:ascii="Arial" w:hAnsi="Arial" w:cs="Arial"/>
          <w:sz w:val="22"/>
          <w:szCs w:val="22"/>
        </w:rPr>
      </w:pPr>
    </w:p>
    <w:p w14:paraId="5343D84B" w14:textId="24E890CF" w:rsidR="00B03B59" w:rsidRDefault="0037317D" w:rsidP="0037317D">
      <w:pPr>
        <w:pStyle w:val="OHHpara"/>
        <w:spacing w:after="0" w:line="480" w:lineRule="auto"/>
        <w:contextualSpacing/>
        <w:rPr>
          <w:rFonts w:ascii="Arial" w:hAnsi="Arial" w:cs="Arial"/>
          <w:b/>
          <w:caps/>
          <w:sz w:val="22"/>
          <w:szCs w:val="22"/>
        </w:rPr>
      </w:pPr>
      <w:r>
        <w:rPr>
          <w:rFonts w:ascii="Arial" w:hAnsi="Arial" w:cs="Arial"/>
          <w:b/>
          <w:caps/>
          <w:sz w:val="22"/>
          <w:szCs w:val="22"/>
        </w:rPr>
        <w:lastRenderedPageBreak/>
        <w:t>4.</w:t>
      </w:r>
      <w:r>
        <w:rPr>
          <w:rFonts w:ascii="Arial" w:hAnsi="Arial" w:cs="Arial"/>
          <w:b/>
          <w:caps/>
          <w:sz w:val="22"/>
          <w:szCs w:val="22"/>
        </w:rPr>
        <w:tab/>
      </w:r>
      <w:r w:rsidR="00B03B59" w:rsidRPr="00014C1C">
        <w:rPr>
          <w:rFonts w:ascii="Arial" w:hAnsi="Arial" w:cs="Arial"/>
          <w:b/>
          <w:caps/>
          <w:sz w:val="22"/>
          <w:szCs w:val="22"/>
        </w:rPr>
        <w:t>The Role of the Franchisor</w:t>
      </w:r>
    </w:p>
    <w:p w14:paraId="341F888B" w14:textId="77777777" w:rsidR="00A8339B" w:rsidRDefault="0071377B" w:rsidP="00A8339B">
      <w:pPr>
        <w:pStyle w:val="OHHpara"/>
        <w:spacing w:after="0"/>
        <w:contextualSpacing/>
        <w:rPr>
          <w:rFonts w:ascii="Arial" w:hAnsi="Arial" w:cs="Arial"/>
          <w:b/>
          <w:sz w:val="22"/>
          <w:szCs w:val="22"/>
        </w:rPr>
      </w:pPr>
      <w:r w:rsidRPr="0037317D">
        <w:rPr>
          <w:rFonts w:ascii="Arial" w:hAnsi="Arial" w:cs="Arial"/>
          <w:b/>
          <w:sz w:val="22"/>
          <w:szCs w:val="22"/>
        </w:rPr>
        <w:tab/>
      </w:r>
    </w:p>
    <w:p w14:paraId="0BF204C4" w14:textId="38C5FBF6" w:rsidR="003629A3" w:rsidRDefault="0037317D" w:rsidP="00A8339B">
      <w:pPr>
        <w:pStyle w:val="OHHpara"/>
        <w:spacing w:after="0" w:line="480" w:lineRule="auto"/>
        <w:ind w:firstLine="720"/>
        <w:contextualSpacing/>
        <w:rPr>
          <w:rFonts w:ascii="Arial" w:hAnsi="Arial" w:cs="Arial"/>
          <w:b/>
          <w:sz w:val="22"/>
          <w:szCs w:val="22"/>
        </w:rPr>
      </w:pPr>
      <w:r w:rsidRPr="0037317D">
        <w:rPr>
          <w:rFonts w:ascii="Arial" w:hAnsi="Arial" w:cs="Arial"/>
          <w:b/>
          <w:sz w:val="22"/>
          <w:szCs w:val="22"/>
        </w:rPr>
        <w:t xml:space="preserve">(a) </w:t>
      </w:r>
      <w:r w:rsidR="0071377B" w:rsidRPr="0037317D">
        <w:rPr>
          <w:rFonts w:ascii="Arial" w:hAnsi="Arial" w:cs="Arial"/>
          <w:b/>
          <w:sz w:val="22"/>
          <w:szCs w:val="22"/>
        </w:rPr>
        <w:t xml:space="preserve"> </w:t>
      </w:r>
      <w:r w:rsidR="003629A3" w:rsidRPr="0037317D">
        <w:rPr>
          <w:rFonts w:ascii="Arial" w:hAnsi="Arial" w:cs="Arial"/>
          <w:b/>
          <w:sz w:val="22"/>
          <w:szCs w:val="22"/>
        </w:rPr>
        <w:t xml:space="preserve">Consent of the Franchisor </w:t>
      </w:r>
    </w:p>
    <w:p w14:paraId="2716E36D" w14:textId="77777777" w:rsidR="00A8339B" w:rsidRDefault="00A8339B" w:rsidP="00A8339B">
      <w:pPr>
        <w:pStyle w:val="OHHpara"/>
        <w:spacing w:after="0"/>
        <w:contextualSpacing/>
        <w:rPr>
          <w:rFonts w:ascii="Arial" w:hAnsi="Arial" w:cs="Arial"/>
          <w:sz w:val="22"/>
          <w:szCs w:val="22"/>
        </w:rPr>
      </w:pPr>
    </w:p>
    <w:p w14:paraId="4B71B154" w14:textId="07F5B326" w:rsidR="00304CD3" w:rsidRDefault="00664067" w:rsidP="00A8339B">
      <w:pPr>
        <w:pStyle w:val="OHHpara"/>
        <w:spacing w:after="0" w:line="480" w:lineRule="auto"/>
        <w:contextualSpacing/>
        <w:rPr>
          <w:rFonts w:ascii="Arial" w:hAnsi="Arial" w:cs="Arial"/>
          <w:sz w:val="22"/>
          <w:szCs w:val="22"/>
        </w:rPr>
      </w:pPr>
      <w:r>
        <w:rPr>
          <w:rFonts w:ascii="Arial" w:hAnsi="Arial" w:cs="Arial"/>
          <w:sz w:val="22"/>
          <w:szCs w:val="22"/>
        </w:rPr>
        <w:t>The franchisor has a keen interest in overseeing the</w:t>
      </w:r>
      <w:r w:rsidR="00CB75D0">
        <w:rPr>
          <w:rFonts w:ascii="Arial" w:hAnsi="Arial" w:cs="Arial"/>
          <w:sz w:val="22"/>
          <w:szCs w:val="22"/>
        </w:rPr>
        <w:t xml:space="preserve"> franchisee resale</w:t>
      </w:r>
      <w:r>
        <w:rPr>
          <w:rFonts w:ascii="Arial" w:hAnsi="Arial" w:cs="Arial"/>
          <w:sz w:val="22"/>
          <w:szCs w:val="22"/>
        </w:rPr>
        <w:t xml:space="preserve"> because of</w:t>
      </w:r>
      <w:r w:rsidR="007F56EE">
        <w:rPr>
          <w:rFonts w:ascii="Arial" w:hAnsi="Arial" w:cs="Arial"/>
          <w:sz w:val="22"/>
          <w:szCs w:val="22"/>
        </w:rPr>
        <w:t xml:space="preserve"> the ongoing </w:t>
      </w:r>
      <w:r w:rsidR="0086012C">
        <w:rPr>
          <w:rFonts w:ascii="Arial" w:hAnsi="Arial" w:cs="Arial"/>
          <w:sz w:val="22"/>
          <w:szCs w:val="22"/>
        </w:rPr>
        <w:t xml:space="preserve">nature of the </w:t>
      </w:r>
      <w:r w:rsidR="007F56EE">
        <w:rPr>
          <w:rFonts w:ascii="Arial" w:hAnsi="Arial" w:cs="Arial"/>
          <w:sz w:val="22"/>
          <w:szCs w:val="22"/>
        </w:rPr>
        <w:t>relationship betwee</w:t>
      </w:r>
      <w:r>
        <w:rPr>
          <w:rFonts w:ascii="Arial" w:hAnsi="Arial" w:cs="Arial"/>
          <w:sz w:val="22"/>
          <w:szCs w:val="22"/>
        </w:rPr>
        <w:t>n a franchisor and a franchisee.</w:t>
      </w:r>
      <w:r w:rsidR="007F56EE">
        <w:rPr>
          <w:rFonts w:ascii="Arial" w:hAnsi="Arial" w:cs="Arial"/>
          <w:sz w:val="22"/>
          <w:szCs w:val="22"/>
        </w:rPr>
        <w:t xml:space="preserve"> </w:t>
      </w:r>
      <w:r w:rsidR="005E0B38">
        <w:rPr>
          <w:rFonts w:ascii="Arial" w:hAnsi="Arial" w:cs="Arial"/>
          <w:sz w:val="22"/>
          <w:szCs w:val="22"/>
        </w:rPr>
        <w:t xml:space="preserve">Typically, the franchise agreement requires </w:t>
      </w:r>
      <w:r w:rsidR="00F66D49">
        <w:rPr>
          <w:rFonts w:ascii="Arial" w:hAnsi="Arial" w:cs="Arial"/>
          <w:sz w:val="22"/>
          <w:szCs w:val="22"/>
        </w:rPr>
        <w:t>the franchisor to consent to</w:t>
      </w:r>
      <w:r w:rsidR="005E0B38">
        <w:rPr>
          <w:rFonts w:ascii="Arial" w:hAnsi="Arial" w:cs="Arial"/>
          <w:sz w:val="22"/>
          <w:szCs w:val="22"/>
        </w:rPr>
        <w:t xml:space="preserve"> any </w:t>
      </w:r>
      <w:r w:rsidR="00C777B5">
        <w:rPr>
          <w:rFonts w:ascii="Arial" w:hAnsi="Arial" w:cs="Arial"/>
          <w:sz w:val="22"/>
          <w:szCs w:val="22"/>
        </w:rPr>
        <w:t xml:space="preserve">transfer or </w:t>
      </w:r>
      <w:r w:rsidR="005E0B38">
        <w:rPr>
          <w:rFonts w:ascii="Arial" w:hAnsi="Arial" w:cs="Arial"/>
          <w:sz w:val="22"/>
          <w:szCs w:val="22"/>
        </w:rPr>
        <w:t>assignment of</w:t>
      </w:r>
      <w:r w:rsidR="00C777B5">
        <w:rPr>
          <w:rFonts w:ascii="Arial" w:hAnsi="Arial" w:cs="Arial"/>
          <w:sz w:val="22"/>
          <w:szCs w:val="22"/>
        </w:rPr>
        <w:t xml:space="preserve"> the</w:t>
      </w:r>
      <w:r w:rsidR="005E0B38">
        <w:rPr>
          <w:rFonts w:ascii="Arial" w:hAnsi="Arial" w:cs="Arial"/>
          <w:sz w:val="22"/>
          <w:szCs w:val="22"/>
        </w:rPr>
        <w:t xml:space="preserve"> franchisee</w:t>
      </w:r>
      <w:r w:rsidR="00C777B5">
        <w:rPr>
          <w:rFonts w:ascii="Arial" w:hAnsi="Arial" w:cs="Arial"/>
          <w:sz w:val="22"/>
          <w:szCs w:val="22"/>
        </w:rPr>
        <w:t>’s rights and obligations</w:t>
      </w:r>
      <w:r w:rsidR="005E0B38">
        <w:rPr>
          <w:rFonts w:ascii="Arial" w:hAnsi="Arial" w:cs="Arial"/>
          <w:sz w:val="22"/>
          <w:szCs w:val="22"/>
        </w:rPr>
        <w:t xml:space="preserve">, </w:t>
      </w:r>
      <w:r>
        <w:rPr>
          <w:rFonts w:ascii="Arial" w:hAnsi="Arial" w:cs="Arial"/>
          <w:sz w:val="22"/>
          <w:szCs w:val="22"/>
        </w:rPr>
        <w:t xml:space="preserve">any </w:t>
      </w:r>
      <w:r w:rsidR="00C777B5">
        <w:rPr>
          <w:rFonts w:ascii="Arial" w:hAnsi="Arial" w:cs="Arial"/>
          <w:sz w:val="22"/>
          <w:szCs w:val="22"/>
        </w:rPr>
        <w:t>transfer or assignment</w:t>
      </w:r>
      <w:r w:rsidR="005E0B38">
        <w:rPr>
          <w:rFonts w:ascii="Arial" w:hAnsi="Arial" w:cs="Arial"/>
          <w:sz w:val="22"/>
          <w:szCs w:val="22"/>
        </w:rPr>
        <w:t xml:space="preserve"> of</w:t>
      </w:r>
      <w:r w:rsidR="00C777B5">
        <w:rPr>
          <w:rFonts w:ascii="Arial" w:hAnsi="Arial" w:cs="Arial"/>
          <w:sz w:val="22"/>
          <w:szCs w:val="22"/>
        </w:rPr>
        <w:t xml:space="preserve"> substantially all of the</w:t>
      </w:r>
      <w:r w:rsidR="005E0B38">
        <w:rPr>
          <w:rFonts w:ascii="Arial" w:hAnsi="Arial" w:cs="Arial"/>
          <w:sz w:val="22"/>
          <w:szCs w:val="22"/>
        </w:rPr>
        <w:t xml:space="preserve"> assets </w:t>
      </w:r>
      <w:r w:rsidR="00C777B5">
        <w:rPr>
          <w:rFonts w:ascii="Arial" w:hAnsi="Arial" w:cs="Arial"/>
          <w:sz w:val="22"/>
          <w:szCs w:val="22"/>
        </w:rPr>
        <w:t>used in the operation of</w:t>
      </w:r>
      <w:r w:rsidR="005E0B38" w:rsidRPr="005E0B38">
        <w:rPr>
          <w:rFonts w:ascii="Arial" w:hAnsi="Arial" w:cs="Arial"/>
          <w:sz w:val="22"/>
          <w:szCs w:val="22"/>
        </w:rPr>
        <w:t xml:space="preserve"> the franchised business</w:t>
      </w:r>
      <w:r w:rsidR="005E0B38">
        <w:rPr>
          <w:rFonts w:ascii="Arial" w:hAnsi="Arial" w:cs="Arial"/>
          <w:sz w:val="22"/>
          <w:szCs w:val="22"/>
        </w:rPr>
        <w:t>,</w:t>
      </w:r>
      <w:r w:rsidR="005E0B38" w:rsidRPr="005E0B38">
        <w:rPr>
          <w:rFonts w:ascii="Arial" w:hAnsi="Arial" w:cs="Arial"/>
          <w:sz w:val="22"/>
          <w:szCs w:val="22"/>
        </w:rPr>
        <w:t xml:space="preserve"> or any change of control </w:t>
      </w:r>
      <w:r w:rsidR="00C777B5">
        <w:rPr>
          <w:rFonts w:ascii="Arial" w:hAnsi="Arial" w:cs="Arial"/>
          <w:sz w:val="22"/>
          <w:szCs w:val="22"/>
        </w:rPr>
        <w:t xml:space="preserve">in the ownership of </w:t>
      </w:r>
      <w:r w:rsidR="005E0B38" w:rsidRPr="005E0B38">
        <w:rPr>
          <w:rFonts w:ascii="Arial" w:hAnsi="Arial" w:cs="Arial"/>
          <w:sz w:val="22"/>
          <w:szCs w:val="22"/>
        </w:rPr>
        <w:t>the franchisee</w:t>
      </w:r>
      <w:r w:rsidR="005E0B38">
        <w:rPr>
          <w:rFonts w:ascii="Arial" w:hAnsi="Arial" w:cs="Arial"/>
          <w:sz w:val="22"/>
          <w:szCs w:val="22"/>
        </w:rPr>
        <w:t>.</w:t>
      </w:r>
      <w:r w:rsidR="00AF2F74">
        <w:rPr>
          <w:rFonts w:ascii="Arial" w:hAnsi="Arial" w:cs="Arial"/>
          <w:sz w:val="22"/>
          <w:szCs w:val="22"/>
        </w:rPr>
        <w:t xml:space="preserve"> </w:t>
      </w:r>
      <w:r w:rsidR="007A56DA">
        <w:rPr>
          <w:rFonts w:ascii="Arial" w:hAnsi="Arial" w:cs="Arial"/>
          <w:sz w:val="22"/>
          <w:szCs w:val="22"/>
        </w:rPr>
        <w:t xml:space="preserve"> </w:t>
      </w:r>
    </w:p>
    <w:p w14:paraId="038BB41A" w14:textId="77777777" w:rsidR="00A8339B" w:rsidRDefault="00A8339B" w:rsidP="00CB75D0">
      <w:pPr>
        <w:pStyle w:val="OHHpara"/>
        <w:spacing w:after="0"/>
        <w:contextualSpacing/>
        <w:rPr>
          <w:rFonts w:ascii="Arial" w:hAnsi="Arial" w:cs="Arial"/>
          <w:sz w:val="22"/>
          <w:szCs w:val="22"/>
        </w:rPr>
      </w:pPr>
    </w:p>
    <w:p w14:paraId="234D157F" w14:textId="46E1B352" w:rsidR="002D712A" w:rsidRDefault="00304CD3" w:rsidP="00A8339B">
      <w:pPr>
        <w:pStyle w:val="OHHpara"/>
        <w:spacing w:after="0" w:line="480" w:lineRule="auto"/>
        <w:contextualSpacing/>
        <w:rPr>
          <w:rFonts w:ascii="Arial" w:hAnsi="Arial" w:cs="Arial"/>
          <w:sz w:val="22"/>
          <w:szCs w:val="22"/>
        </w:rPr>
      </w:pPr>
      <w:r>
        <w:rPr>
          <w:rFonts w:ascii="Arial" w:hAnsi="Arial" w:cs="Arial"/>
          <w:sz w:val="22"/>
          <w:szCs w:val="22"/>
        </w:rPr>
        <w:t>M</w:t>
      </w:r>
      <w:r w:rsidR="007A56DA">
        <w:rPr>
          <w:rFonts w:ascii="Arial" w:hAnsi="Arial" w:cs="Arial"/>
          <w:sz w:val="22"/>
          <w:szCs w:val="22"/>
        </w:rPr>
        <w:t xml:space="preserve">any, </w:t>
      </w:r>
      <w:r w:rsidR="00CB75D0">
        <w:rPr>
          <w:rFonts w:ascii="Arial" w:hAnsi="Arial" w:cs="Arial"/>
          <w:sz w:val="22"/>
          <w:szCs w:val="22"/>
        </w:rPr>
        <w:t xml:space="preserve">if not most, </w:t>
      </w:r>
      <w:r w:rsidR="007A56DA">
        <w:rPr>
          <w:rFonts w:ascii="Arial" w:hAnsi="Arial" w:cs="Arial"/>
          <w:sz w:val="22"/>
          <w:szCs w:val="22"/>
        </w:rPr>
        <w:t>franchise agreements provide that th</w:t>
      </w:r>
      <w:r w:rsidR="006C7C20">
        <w:rPr>
          <w:rFonts w:ascii="Arial" w:hAnsi="Arial" w:cs="Arial"/>
          <w:sz w:val="22"/>
          <w:szCs w:val="22"/>
        </w:rPr>
        <w:t xml:space="preserve">e franchisor’s consent will only be granted if certain conditions are met. These conditions vary, but generally include: </w:t>
      </w:r>
      <w:r w:rsidR="007A56DA">
        <w:rPr>
          <w:rFonts w:ascii="Arial" w:hAnsi="Arial" w:cs="Arial"/>
          <w:sz w:val="22"/>
          <w:szCs w:val="22"/>
        </w:rPr>
        <w:t xml:space="preserve">(i) </w:t>
      </w:r>
      <w:r w:rsidR="00725AF6">
        <w:rPr>
          <w:rFonts w:ascii="Arial" w:hAnsi="Arial" w:cs="Arial"/>
          <w:sz w:val="22"/>
          <w:szCs w:val="22"/>
        </w:rPr>
        <w:t xml:space="preserve">the existing franchisee </w:t>
      </w:r>
      <w:r w:rsidR="006C7C20">
        <w:rPr>
          <w:rFonts w:ascii="Arial" w:hAnsi="Arial" w:cs="Arial"/>
          <w:sz w:val="22"/>
          <w:szCs w:val="22"/>
        </w:rPr>
        <w:t xml:space="preserve">providing </w:t>
      </w:r>
      <w:r w:rsidR="00063483">
        <w:rPr>
          <w:rFonts w:ascii="Arial" w:hAnsi="Arial" w:cs="Arial"/>
          <w:sz w:val="22"/>
          <w:szCs w:val="22"/>
        </w:rPr>
        <w:t xml:space="preserve">sufficient </w:t>
      </w:r>
      <w:r w:rsidR="006C7C20" w:rsidRPr="006C7C20">
        <w:rPr>
          <w:rFonts w:ascii="Arial" w:hAnsi="Arial" w:cs="Arial"/>
          <w:sz w:val="22"/>
          <w:szCs w:val="22"/>
        </w:rPr>
        <w:t xml:space="preserve">notice to </w:t>
      </w:r>
      <w:r w:rsidR="00063483">
        <w:rPr>
          <w:rFonts w:ascii="Arial" w:hAnsi="Arial" w:cs="Arial"/>
          <w:sz w:val="22"/>
          <w:szCs w:val="22"/>
        </w:rPr>
        <w:t xml:space="preserve">allow </w:t>
      </w:r>
      <w:r w:rsidR="006C7C20" w:rsidRPr="006C7C20">
        <w:rPr>
          <w:rFonts w:ascii="Arial" w:hAnsi="Arial" w:cs="Arial"/>
          <w:sz w:val="22"/>
          <w:szCs w:val="22"/>
        </w:rPr>
        <w:t>the franchiso</w:t>
      </w:r>
      <w:r w:rsidR="00B752C8">
        <w:rPr>
          <w:rFonts w:ascii="Arial" w:hAnsi="Arial" w:cs="Arial"/>
          <w:sz w:val="22"/>
          <w:szCs w:val="22"/>
        </w:rPr>
        <w:t xml:space="preserve">r </w:t>
      </w:r>
      <w:r w:rsidR="00606883">
        <w:rPr>
          <w:rFonts w:ascii="Arial" w:hAnsi="Arial" w:cs="Arial"/>
          <w:sz w:val="22"/>
          <w:szCs w:val="22"/>
        </w:rPr>
        <w:t xml:space="preserve">to evaluate </w:t>
      </w:r>
      <w:r w:rsidR="00B752C8">
        <w:rPr>
          <w:rFonts w:ascii="Arial" w:hAnsi="Arial" w:cs="Arial"/>
          <w:sz w:val="22"/>
          <w:szCs w:val="22"/>
        </w:rPr>
        <w:t xml:space="preserve"> </w:t>
      </w:r>
      <w:r w:rsidR="006C7C20" w:rsidRPr="006C7C20">
        <w:rPr>
          <w:rFonts w:ascii="Arial" w:hAnsi="Arial" w:cs="Arial"/>
          <w:sz w:val="22"/>
          <w:szCs w:val="22"/>
        </w:rPr>
        <w:t xml:space="preserve">the business background, net worth, financial capability, and character and experience of the </w:t>
      </w:r>
      <w:r w:rsidR="00154907">
        <w:rPr>
          <w:rFonts w:ascii="Arial" w:hAnsi="Arial" w:cs="Arial"/>
          <w:sz w:val="22"/>
          <w:szCs w:val="22"/>
        </w:rPr>
        <w:t>prospective</w:t>
      </w:r>
      <w:r w:rsidR="00505FF5">
        <w:rPr>
          <w:rFonts w:ascii="Arial" w:hAnsi="Arial" w:cs="Arial"/>
          <w:sz w:val="22"/>
          <w:szCs w:val="22"/>
        </w:rPr>
        <w:t xml:space="preserve"> purchaser</w:t>
      </w:r>
      <w:r w:rsidR="006C7C20" w:rsidRPr="006C7C20">
        <w:rPr>
          <w:rFonts w:ascii="Arial" w:hAnsi="Arial" w:cs="Arial"/>
          <w:sz w:val="22"/>
          <w:szCs w:val="22"/>
        </w:rPr>
        <w:t>;</w:t>
      </w:r>
      <w:r w:rsidR="0037223B">
        <w:rPr>
          <w:rFonts w:ascii="Arial" w:hAnsi="Arial" w:cs="Arial"/>
          <w:sz w:val="22"/>
          <w:szCs w:val="22"/>
        </w:rPr>
        <w:t xml:space="preserve"> (ii) </w:t>
      </w:r>
      <w:r w:rsidR="006C7C20" w:rsidRPr="006C7C20">
        <w:rPr>
          <w:rFonts w:ascii="Arial" w:hAnsi="Arial" w:cs="Arial"/>
          <w:sz w:val="22"/>
          <w:szCs w:val="22"/>
        </w:rPr>
        <w:t>payment of a transfer fee</w:t>
      </w:r>
      <w:r w:rsidR="00CB75D0">
        <w:rPr>
          <w:rFonts w:ascii="Arial" w:hAnsi="Arial" w:cs="Arial"/>
          <w:sz w:val="22"/>
          <w:szCs w:val="22"/>
        </w:rPr>
        <w:t xml:space="preserve"> by the existing franchise and/or the prospective purchaser</w:t>
      </w:r>
      <w:r w:rsidR="006C7C20" w:rsidRPr="006C7C20">
        <w:rPr>
          <w:rFonts w:ascii="Arial" w:hAnsi="Arial" w:cs="Arial"/>
          <w:sz w:val="22"/>
          <w:szCs w:val="22"/>
        </w:rPr>
        <w:t>;</w:t>
      </w:r>
      <w:r w:rsidR="0037223B">
        <w:rPr>
          <w:rFonts w:ascii="Arial" w:hAnsi="Arial" w:cs="Arial"/>
          <w:sz w:val="22"/>
          <w:szCs w:val="22"/>
        </w:rPr>
        <w:t xml:space="preserve"> (iii) </w:t>
      </w:r>
      <w:r w:rsidR="00B752C8">
        <w:rPr>
          <w:rFonts w:ascii="Arial" w:hAnsi="Arial" w:cs="Arial"/>
          <w:sz w:val="22"/>
          <w:szCs w:val="22"/>
        </w:rPr>
        <w:t xml:space="preserve">the </w:t>
      </w:r>
      <w:r w:rsidR="00505FF5">
        <w:rPr>
          <w:rFonts w:ascii="Arial" w:hAnsi="Arial" w:cs="Arial"/>
          <w:sz w:val="22"/>
          <w:szCs w:val="22"/>
        </w:rPr>
        <w:t>prospective purchaser</w:t>
      </w:r>
      <w:r w:rsidR="005015C1">
        <w:rPr>
          <w:rFonts w:ascii="Arial" w:hAnsi="Arial" w:cs="Arial"/>
          <w:sz w:val="22"/>
          <w:szCs w:val="22"/>
        </w:rPr>
        <w:t xml:space="preserve"> </w:t>
      </w:r>
      <w:r w:rsidR="0037223B">
        <w:rPr>
          <w:rFonts w:ascii="Arial" w:hAnsi="Arial" w:cs="Arial"/>
          <w:sz w:val="22"/>
          <w:szCs w:val="22"/>
        </w:rPr>
        <w:t>having the necessary rights to the premises; (iv)</w:t>
      </w:r>
      <w:r w:rsidR="00B752C8">
        <w:rPr>
          <w:rFonts w:ascii="Arial" w:hAnsi="Arial" w:cs="Arial"/>
          <w:sz w:val="22"/>
          <w:szCs w:val="22"/>
        </w:rPr>
        <w:t xml:space="preserve"> </w:t>
      </w:r>
      <w:r w:rsidR="00725AF6">
        <w:rPr>
          <w:rFonts w:ascii="Arial" w:hAnsi="Arial" w:cs="Arial"/>
          <w:sz w:val="22"/>
          <w:szCs w:val="22"/>
        </w:rPr>
        <w:t xml:space="preserve">the </w:t>
      </w:r>
      <w:r w:rsidR="00505FF5">
        <w:rPr>
          <w:rFonts w:ascii="Arial" w:hAnsi="Arial" w:cs="Arial"/>
          <w:sz w:val="22"/>
          <w:szCs w:val="22"/>
        </w:rPr>
        <w:t>prospective purchaser</w:t>
      </w:r>
      <w:r w:rsidR="005015C1">
        <w:rPr>
          <w:rFonts w:ascii="Arial" w:hAnsi="Arial" w:cs="Arial"/>
          <w:sz w:val="22"/>
          <w:szCs w:val="22"/>
        </w:rPr>
        <w:t xml:space="preserve"> </w:t>
      </w:r>
      <w:r w:rsidR="006C7C20" w:rsidRPr="006C7C20">
        <w:rPr>
          <w:rFonts w:ascii="Arial" w:hAnsi="Arial" w:cs="Arial"/>
          <w:sz w:val="22"/>
          <w:szCs w:val="22"/>
        </w:rPr>
        <w:t>completi</w:t>
      </w:r>
      <w:r w:rsidR="00725AF6">
        <w:rPr>
          <w:rFonts w:ascii="Arial" w:hAnsi="Arial" w:cs="Arial"/>
          <w:sz w:val="22"/>
          <w:szCs w:val="22"/>
        </w:rPr>
        <w:t>ng any</w:t>
      </w:r>
      <w:r w:rsidR="006C7C20" w:rsidRPr="006C7C20">
        <w:rPr>
          <w:rFonts w:ascii="Arial" w:hAnsi="Arial" w:cs="Arial"/>
          <w:sz w:val="22"/>
          <w:szCs w:val="22"/>
        </w:rPr>
        <w:t xml:space="preserve"> training and pay</w:t>
      </w:r>
      <w:r w:rsidR="00725AF6">
        <w:rPr>
          <w:rFonts w:ascii="Arial" w:hAnsi="Arial" w:cs="Arial"/>
          <w:sz w:val="22"/>
          <w:szCs w:val="22"/>
        </w:rPr>
        <w:t>ing</w:t>
      </w:r>
      <w:r w:rsidR="006C7C20" w:rsidRPr="006C7C20">
        <w:rPr>
          <w:rFonts w:ascii="Arial" w:hAnsi="Arial" w:cs="Arial"/>
          <w:sz w:val="22"/>
          <w:szCs w:val="22"/>
        </w:rPr>
        <w:t xml:space="preserve"> any training fees; </w:t>
      </w:r>
      <w:r w:rsidR="000119E2">
        <w:rPr>
          <w:rFonts w:ascii="Arial" w:hAnsi="Arial" w:cs="Arial"/>
          <w:sz w:val="22"/>
          <w:szCs w:val="22"/>
        </w:rPr>
        <w:t xml:space="preserve">(v) </w:t>
      </w:r>
      <w:r w:rsidR="006C7C20" w:rsidRPr="006C7C20">
        <w:rPr>
          <w:rFonts w:ascii="Arial" w:hAnsi="Arial" w:cs="Arial"/>
          <w:sz w:val="22"/>
          <w:szCs w:val="22"/>
        </w:rPr>
        <w:t>execution</w:t>
      </w:r>
      <w:r w:rsidR="00034243">
        <w:rPr>
          <w:rFonts w:ascii="Arial" w:hAnsi="Arial" w:cs="Arial"/>
          <w:sz w:val="22"/>
          <w:szCs w:val="22"/>
        </w:rPr>
        <w:t xml:space="preserve"> by the </w:t>
      </w:r>
      <w:r w:rsidR="00505FF5">
        <w:rPr>
          <w:rFonts w:ascii="Arial" w:hAnsi="Arial" w:cs="Arial"/>
          <w:sz w:val="22"/>
          <w:szCs w:val="22"/>
        </w:rPr>
        <w:t>prospective purchaser</w:t>
      </w:r>
      <w:r w:rsidR="000B5379" w:rsidRPr="006C7C20">
        <w:rPr>
          <w:rFonts w:ascii="Arial" w:hAnsi="Arial" w:cs="Arial"/>
          <w:sz w:val="22"/>
          <w:szCs w:val="22"/>
        </w:rPr>
        <w:t xml:space="preserve"> </w:t>
      </w:r>
      <w:r w:rsidR="006C7C20" w:rsidRPr="006C7C20">
        <w:rPr>
          <w:rFonts w:ascii="Arial" w:hAnsi="Arial" w:cs="Arial"/>
          <w:sz w:val="22"/>
          <w:szCs w:val="22"/>
        </w:rPr>
        <w:t xml:space="preserve">of the </w:t>
      </w:r>
      <w:r w:rsidR="000119E2">
        <w:rPr>
          <w:rFonts w:ascii="Arial" w:hAnsi="Arial" w:cs="Arial"/>
          <w:sz w:val="22"/>
          <w:szCs w:val="22"/>
        </w:rPr>
        <w:t>franchisor’s then-current</w:t>
      </w:r>
      <w:r w:rsidR="00725AF6">
        <w:rPr>
          <w:rFonts w:ascii="Arial" w:hAnsi="Arial" w:cs="Arial"/>
          <w:sz w:val="22"/>
          <w:szCs w:val="22"/>
        </w:rPr>
        <w:t xml:space="preserve"> form of franchise agreement and</w:t>
      </w:r>
      <w:r w:rsidR="00034243">
        <w:rPr>
          <w:rFonts w:ascii="Arial" w:hAnsi="Arial" w:cs="Arial"/>
          <w:sz w:val="22"/>
          <w:szCs w:val="22"/>
        </w:rPr>
        <w:t xml:space="preserve"> ancillary agreements</w:t>
      </w:r>
      <w:r w:rsidR="00725AF6">
        <w:rPr>
          <w:rFonts w:ascii="Arial" w:hAnsi="Arial" w:cs="Arial"/>
          <w:sz w:val="22"/>
          <w:szCs w:val="22"/>
        </w:rPr>
        <w:t>; (vi</w:t>
      </w:r>
      <w:r w:rsidR="002560FE">
        <w:rPr>
          <w:rFonts w:ascii="Arial" w:hAnsi="Arial" w:cs="Arial"/>
          <w:sz w:val="22"/>
          <w:szCs w:val="22"/>
        </w:rPr>
        <w:t xml:space="preserve">) </w:t>
      </w:r>
      <w:r w:rsidR="00B752C8">
        <w:rPr>
          <w:rFonts w:ascii="Arial" w:hAnsi="Arial" w:cs="Arial"/>
          <w:sz w:val="22"/>
          <w:szCs w:val="22"/>
        </w:rPr>
        <w:t xml:space="preserve">the </w:t>
      </w:r>
      <w:r w:rsidR="006457CF">
        <w:rPr>
          <w:rFonts w:ascii="Arial" w:hAnsi="Arial" w:cs="Arial"/>
          <w:sz w:val="22"/>
          <w:szCs w:val="22"/>
        </w:rPr>
        <w:t xml:space="preserve">existing </w:t>
      </w:r>
      <w:r w:rsidR="00B752C8">
        <w:rPr>
          <w:rFonts w:ascii="Arial" w:hAnsi="Arial" w:cs="Arial"/>
          <w:sz w:val="22"/>
          <w:szCs w:val="22"/>
        </w:rPr>
        <w:t xml:space="preserve">franchisee </w:t>
      </w:r>
      <w:r w:rsidR="002560FE">
        <w:rPr>
          <w:rFonts w:ascii="Arial" w:hAnsi="Arial" w:cs="Arial"/>
          <w:sz w:val="22"/>
          <w:szCs w:val="22"/>
        </w:rPr>
        <w:t xml:space="preserve">having </w:t>
      </w:r>
      <w:r w:rsidR="006C7C20" w:rsidRPr="006C7C20">
        <w:rPr>
          <w:rFonts w:ascii="Arial" w:hAnsi="Arial" w:cs="Arial"/>
          <w:sz w:val="22"/>
          <w:szCs w:val="22"/>
        </w:rPr>
        <w:t>substantially compl</w:t>
      </w:r>
      <w:r w:rsidR="00B752C8">
        <w:rPr>
          <w:rFonts w:ascii="Arial" w:hAnsi="Arial" w:cs="Arial"/>
          <w:sz w:val="22"/>
          <w:szCs w:val="22"/>
        </w:rPr>
        <w:t>ied with all provisions of the franchise a</w:t>
      </w:r>
      <w:r w:rsidR="006C7C20" w:rsidRPr="006C7C20">
        <w:rPr>
          <w:rFonts w:ascii="Arial" w:hAnsi="Arial" w:cs="Arial"/>
          <w:sz w:val="22"/>
          <w:szCs w:val="22"/>
        </w:rPr>
        <w:t>greement a</w:t>
      </w:r>
      <w:r w:rsidR="00B752C8">
        <w:rPr>
          <w:rFonts w:ascii="Arial" w:hAnsi="Arial" w:cs="Arial"/>
          <w:sz w:val="22"/>
          <w:szCs w:val="22"/>
        </w:rPr>
        <w:t>nd any other a</w:t>
      </w:r>
      <w:r w:rsidR="003B4A4E">
        <w:rPr>
          <w:rFonts w:ascii="Arial" w:hAnsi="Arial" w:cs="Arial"/>
          <w:sz w:val="22"/>
          <w:szCs w:val="22"/>
        </w:rPr>
        <w:t>greement between franchisor and the</w:t>
      </w:r>
      <w:r w:rsidR="006457CF">
        <w:rPr>
          <w:rFonts w:ascii="Arial" w:hAnsi="Arial" w:cs="Arial"/>
          <w:sz w:val="22"/>
          <w:szCs w:val="22"/>
        </w:rPr>
        <w:t xml:space="preserve"> existing </w:t>
      </w:r>
      <w:r w:rsidR="00B752C8">
        <w:rPr>
          <w:rFonts w:ascii="Arial" w:hAnsi="Arial" w:cs="Arial"/>
          <w:sz w:val="22"/>
          <w:szCs w:val="22"/>
        </w:rPr>
        <w:t xml:space="preserve">franchisee; </w:t>
      </w:r>
      <w:r w:rsidR="00725AF6">
        <w:rPr>
          <w:rFonts w:ascii="Arial" w:hAnsi="Arial" w:cs="Arial"/>
          <w:sz w:val="22"/>
          <w:szCs w:val="22"/>
        </w:rPr>
        <w:t>(vi</w:t>
      </w:r>
      <w:r w:rsidR="002560FE">
        <w:rPr>
          <w:rFonts w:ascii="Arial" w:hAnsi="Arial" w:cs="Arial"/>
          <w:sz w:val="22"/>
          <w:szCs w:val="22"/>
        </w:rPr>
        <w:t>i) the payment of</w:t>
      </w:r>
      <w:r w:rsidR="00D15F4D">
        <w:rPr>
          <w:rFonts w:ascii="Arial" w:hAnsi="Arial" w:cs="Arial"/>
          <w:sz w:val="22"/>
          <w:szCs w:val="22"/>
        </w:rPr>
        <w:t xml:space="preserve"> </w:t>
      </w:r>
      <w:r w:rsidR="00B752C8">
        <w:rPr>
          <w:rFonts w:ascii="Arial" w:hAnsi="Arial" w:cs="Arial"/>
          <w:sz w:val="22"/>
          <w:szCs w:val="22"/>
        </w:rPr>
        <w:t xml:space="preserve">any </w:t>
      </w:r>
      <w:r w:rsidR="002560FE">
        <w:rPr>
          <w:rFonts w:ascii="Arial" w:hAnsi="Arial" w:cs="Arial"/>
          <w:sz w:val="22"/>
          <w:szCs w:val="22"/>
        </w:rPr>
        <w:t xml:space="preserve">outstanding </w:t>
      </w:r>
      <w:r w:rsidR="00B752C8">
        <w:rPr>
          <w:rFonts w:ascii="Arial" w:hAnsi="Arial" w:cs="Arial"/>
          <w:sz w:val="22"/>
          <w:szCs w:val="22"/>
        </w:rPr>
        <w:t>m</w:t>
      </w:r>
      <w:r w:rsidR="006C7C20" w:rsidRPr="006C7C20">
        <w:rPr>
          <w:rFonts w:ascii="Arial" w:hAnsi="Arial" w:cs="Arial"/>
          <w:sz w:val="22"/>
          <w:szCs w:val="22"/>
        </w:rPr>
        <w:t>o</w:t>
      </w:r>
      <w:r w:rsidR="00B752C8">
        <w:rPr>
          <w:rFonts w:ascii="Arial" w:hAnsi="Arial" w:cs="Arial"/>
          <w:sz w:val="22"/>
          <w:szCs w:val="22"/>
        </w:rPr>
        <w:t xml:space="preserve">netary obligations owed by the </w:t>
      </w:r>
      <w:r w:rsidR="006457CF">
        <w:rPr>
          <w:rFonts w:ascii="Arial" w:hAnsi="Arial" w:cs="Arial"/>
          <w:sz w:val="22"/>
          <w:szCs w:val="22"/>
        </w:rPr>
        <w:t xml:space="preserve">existing </w:t>
      </w:r>
      <w:r w:rsidR="00B752C8">
        <w:rPr>
          <w:rFonts w:ascii="Arial" w:hAnsi="Arial" w:cs="Arial"/>
          <w:sz w:val="22"/>
          <w:szCs w:val="22"/>
        </w:rPr>
        <w:t>f</w:t>
      </w:r>
      <w:r w:rsidR="006C7C20" w:rsidRPr="006C7C20">
        <w:rPr>
          <w:rFonts w:ascii="Arial" w:hAnsi="Arial" w:cs="Arial"/>
          <w:sz w:val="22"/>
          <w:szCs w:val="22"/>
        </w:rPr>
        <w:t>ranchise</w:t>
      </w:r>
      <w:r w:rsidR="00B752C8">
        <w:rPr>
          <w:rFonts w:ascii="Arial" w:hAnsi="Arial" w:cs="Arial"/>
          <w:sz w:val="22"/>
          <w:szCs w:val="22"/>
        </w:rPr>
        <w:t>e to the f</w:t>
      </w:r>
      <w:r w:rsidR="006C7C20" w:rsidRPr="006C7C20">
        <w:rPr>
          <w:rFonts w:ascii="Arial" w:hAnsi="Arial" w:cs="Arial"/>
          <w:sz w:val="22"/>
          <w:szCs w:val="22"/>
        </w:rPr>
        <w:t>ranchisor</w:t>
      </w:r>
      <w:r w:rsidR="00B752C8">
        <w:rPr>
          <w:rFonts w:ascii="Arial" w:hAnsi="Arial" w:cs="Arial"/>
          <w:sz w:val="22"/>
          <w:szCs w:val="22"/>
        </w:rPr>
        <w:t xml:space="preserve">; </w:t>
      </w:r>
      <w:r w:rsidR="00725AF6">
        <w:rPr>
          <w:rFonts w:ascii="Arial" w:hAnsi="Arial" w:cs="Arial"/>
          <w:sz w:val="22"/>
          <w:szCs w:val="22"/>
        </w:rPr>
        <w:t>(vi</w:t>
      </w:r>
      <w:r w:rsidR="00A03B86">
        <w:rPr>
          <w:rFonts w:ascii="Arial" w:hAnsi="Arial" w:cs="Arial"/>
          <w:sz w:val="22"/>
          <w:szCs w:val="22"/>
        </w:rPr>
        <w:t>i</w:t>
      </w:r>
      <w:r w:rsidR="00725AF6">
        <w:rPr>
          <w:rFonts w:ascii="Arial" w:hAnsi="Arial" w:cs="Arial"/>
          <w:sz w:val="22"/>
          <w:szCs w:val="22"/>
        </w:rPr>
        <w:t>i</w:t>
      </w:r>
      <w:r w:rsidR="002560FE">
        <w:rPr>
          <w:rFonts w:ascii="Arial" w:hAnsi="Arial" w:cs="Arial"/>
          <w:sz w:val="22"/>
          <w:szCs w:val="22"/>
        </w:rPr>
        <w:t xml:space="preserve">) </w:t>
      </w:r>
      <w:r w:rsidR="00B752C8">
        <w:rPr>
          <w:rFonts w:ascii="Arial" w:hAnsi="Arial" w:cs="Arial"/>
          <w:sz w:val="22"/>
          <w:szCs w:val="22"/>
        </w:rPr>
        <w:t xml:space="preserve">the </w:t>
      </w:r>
      <w:r w:rsidR="006457CF">
        <w:rPr>
          <w:rFonts w:ascii="Arial" w:hAnsi="Arial" w:cs="Arial"/>
          <w:sz w:val="22"/>
          <w:szCs w:val="22"/>
        </w:rPr>
        <w:t>existing</w:t>
      </w:r>
      <w:r w:rsidR="003B4A4E">
        <w:rPr>
          <w:rFonts w:ascii="Arial" w:hAnsi="Arial" w:cs="Arial"/>
          <w:sz w:val="22"/>
          <w:szCs w:val="22"/>
        </w:rPr>
        <w:t xml:space="preserve"> </w:t>
      </w:r>
      <w:r w:rsidR="00B752C8">
        <w:rPr>
          <w:rFonts w:ascii="Arial" w:hAnsi="Arial" w:cs="Arial"/>
          <w:sz w:val="22"/>
          <w:szCs w:val="22"/>
        </w:rPr>
        <w:t>f</w:t>
      </w:r>
      <w:r w:rsidR="006C7C20" w:rsidRPr="006C7C20">
        <w:rPr>
          <w:rFonts w:ascii="Arial" w:hAnsi="Arial" w:cs="Arial"/>
          <w:sz w:val="22"/>
          <w:szCs w:val="22"/>
        </w:rPr>
        <w:t xml:space="preserve">ranchisee </w:t>
      </w:r>
      <w:r w:rsidR="002560FE">
        <w:rPr>
          <w:rFonts w:ascii="Arial" w:hAnsi="Arial" w:cs="Arial"/>
          <w:sz w:val="22"/>
          <w:szCs w:val="22"/>
        </w:rPr>
        <w:t>delivering</w:t>
      </w:r>
      <w:r w:rsidR="006C7C20" w:rsidRPr="006C7C20">
        <w:rPr>
          <w:rFonts w:ascii="Arial" w:hAnsi="Arial" w:cs="Arial"/>
          <w:sz w:val="22"/>
          <w:szCs w:val="22"/>
        </w:rPr>
        <w:t xml:space="preserve"> a release of the </w:t>
      </w:r>
      <w:r w:rsidR="00B752C8">
        <w:rPr>
          <w:rFonts w:ascii="Arial" w:hAnsi="Arial" w:cs="Arial"/>
          <w:sz w:val="22"/>
          <w:szCs w:val="22"/>
        </w:rPr>
        <w:t>franchisor;</w:t>
      </w:r>
      <w:r w:rsidR="002560FE">
        <w:rPr>
          <w:rFonts w:ascii="Arial" w:hAnsi="Arial" w:cs="Arial"/>
          <w:sz w:val="22"/>
          <w:szCs w:val="22"/>
        </w:rPr>
        <w:t xml:space="preserve"> </w:t>
      </w:r>
      <w:r w:rsidR="000E1B43">
        <w:rPr>
          <w:rFonts w:ascii="Arial" w:hAnsi="Arial" w:cs="Arial"/>
          <w:sz w:val="22"/>
          <w:szCs w:val="22"/>
        </w:rPr>
        <w:t xml:space="preserve">and </w:t>
      </w:r>
      <w:r w:rsidR="002560FE">
        <w:rPr>
          <w:rFonts w:ascii="Arial" w:hAnsi="Arial" w:cs="Arial"/>
          <w:sz w:val="22"/>
          <w:szCs w:val="22"/>
        </w:rPr>
        <w:t>(</w:t>
      </w:r>
      <w:r w:rsidR="00725AF6">
        <w:rPr>
          <w:rFonts w:ascii="Arial" w:hAnsi="Arial" w:cs="Arial"/>
          <w:sz w:val="22"/>
          <w:szCs w:val="22"/>
        </w:rPr>
        <w:t>i</w:t>
      </w:r>
      <w:r w:rsidR="002560FE">
        <w:rPr>
          <w:rFonts w:ascii="Arial" w:hAnsi="Arial" w:cs="Arial"/>
          <w:sz w:val="22"/>
          <w:szCs w:val="22"/>
        </w:rPr>
        <w:t>x)</w:t>
      </w:r>
      <w:r w:rsidR="00967386">
        <w:rPr>
          <w:rFonts w:ascii="Arial" w:hAnsi="Arial" w:cs="Arial"/>
          <w:sz w:val="22"/>
          <w:szCs w:val="22"/>
        </w:rPr>
        <w:t xml:space="preserve"> </w:t>
      </w:r>
      <w:r w:rsidR="00CB75D0">
        <w:rPr>
          <w:rFonts w:ascii="Arial" w:hAnsi="Arial" w:cs="Arial"/>
          <w:sz w:val="22"/>
          <w:szCs w:val="22"/>
        </w:rPr>
        <w:t xml:space="preserve">the existing franchisee and/or the prospective purchaser </w:t>
      </w:r>
      <w:r w:rsidR="00967386">
        <w:rPr>
          <w:rFonts w:ascii="Arial" w:hAnsi="Arial" w:cs="Arial"/>
          <w:sz w:val="22"/>
          <w:szCs w:val="22"/>
        </w:rPr>
        <w:t>conducting any necessary renovations to the franchised premises to bring it in line with the franchisor’s</w:t>
      </w:r>
      <w:r w:rsidR="00725AF6">
        <w:rPr>
          <w:rFonts w:ascii="Arial" w:hAnsi="Arial" w:cs="Arial"/>
          <w:sz w:val="22"/>
          <w:szCs w:val="22"/>
        </w:rPr>
        <w:t xml:space="preserve"> then-current</w:t>
      </w:r>
      <w:r w:rsidR="00967386">
        <w:rPr>
          <w:rFonts w:ascii="Arial" w:hAnsi="Arial" w:cs="Arial"/>
          <w:sz w:val="22"/>
          <w:szCs w:val="22"/>
        </w:rPr>
        <w:t xml:space="preserve"> current image</w:t>
      </w:r>
      <w:r w:rsidR="000E1B43">
        <w:rPr>
          <w:rFonts w:ascii="Arial" w:hAnsi="Arial" w:cs="Arial"/>
          <w:sz w:val="22"/>
          <w:szCs w:val="22"/>
        </w:rPr>
        <w:t xml:space="preserve">.  </w:t>
      </w:r>
    </w:p>
    <w:p w14:paraId="061CB9E9" w14:textId="77777777" w:rsidR="00CB75D0" w:rsidRDefault="00CB75D0" w:rsidP="00CB75D0">
      <w:pPr>
        <w:pStyle w:val="OHHpara"/>
        <w:spacing w:after="0"/>
        <w:contextualSpacing/>
        <w:rPr>
          <w:rFonts w:ascii="Arial" w:hAnsi="Arial" w:cs="Arial"/>
          <w:sz w:val="22"/>
          <w:szCs w:val="22"/>
        </w:rPr>
      </w:pPr>
    </w:p>
    <w:p w14:paraId="439B54A9" w14:textId="58DC7076" w:rsidR="001662A5" w:rsidRDefault="00B35681" w:rsidP="00CB75D0">
      <w:pPr>
        <w:pStyle w:val="OHHpara"/>
        <w:spacing w:after="0" w:line="480" w:lineRule="auto"/>
        <w:contextualSpacing/>
        <w:rPr>
          <w:rFonts w:ascii="Arial" w:hAnsi="Arial" w:cs="Arial"/>
          <w:sz w:val="22"/>
          <w:szCs w:val="22"/>
        </w:rPr>
      </w:pPr>
      <w:r>
        <w:rPr>
          <w:rFonts w:ascii="Arial" w:hAnsi="Arial" w:cs="Arial"/>
          <w:sz w:val="22"/>
          <w:szCs w:val="22"/>
        </w:rPr>
        <w:t xml:space="preserve">In addition to </w:t>
      </w:r>
      <w:r w:rsidR="005647A7">
        <w:rPr>
          <w:rFonts w:ascii="Arial" w:hAnsi="Arial" w:cs="Arial"/>
          <w:sz w:val="22"/>
          <w:szCs w:val="22"/>
        </w:rPr>
        <w:t xml:space="preserve">ensuring that </w:t>
      </w:r>
      <w:r>
        <w:rPr>
          <w:rFonts w:ascii="Arial" w:hAnsi="Arial" w:cs="Arial"/>
          <w:sz w:val="22"/>
          <w:szCs w:val="22"/>
        </w:rPr>
        <w:t xml:space="preserve">the conditions </w:t>
      </w:r>
      <w:r w:rsidR="005647A7">
        <w:rPr>
          <w:rFonts w:ascii="Arial" w:hAnsi="Arial" w:cs="Arial"/>
          <w:sz w:val="22"/>
          <w:szCs w:val="22"/>
        </w:rPr>
        <w:t xml:space="preserve">for </w:t>
      </w:r>
      <w:r>
        <w:rPr>
          <w:rFonts w:ascii="Arial" w:hAnsi="Arial" w:cs="Arial"/>
          <w:sz w:val="22"/>
          <w:szCs w:val="22"/>
        </w:rPr>
        <w:t>consent have been met, t</w:t>
      </w:r>
      <w:r w:rsidR="001662A5">
        <w:rPr>
          <w:rFonts w:ascii="Arial" w:hAnsi="Arial" w:cs="Arial"/>
          <w:sz w:val="22"/>
          <w:szCs w:val="22"/>
        </w:rPr>
        <w:t>he franchisor will</w:t>
      </w:r>
      <w:r w:rsidR="001662A5" w:rsidRPr="001662A5">
        <w:t xml:space="preserve"> </w:t>
      </w:r>
      <w:r w:rsidR="00100033">
        <w:rPr>
          <w:rFonts w:ascii="Arial" w:hAnsi="Arial" w:cs="Arial"/>
          <w:sz w:val="22"/>
          <w:szCs w:val="22"/>
        </w:rPr>
        <w:t xml:space="preserve">likely </w:t>
      </w:r>
      <w:r w:rsidR="001662A5">
        <w:rPr>
          <w:rFonts w:ascii="Arial" w:hAnsi="Arial" w:cs="Arial"/>
          <w:sz w:val="22"/>
          <w:szCs w:val="22"/>
        </w:rPr>
        <w:t xml:space="preserve">want </w:t>
      </w:r>
      <w:r w:rsidR="001662A5" w:rsidRPr="001662A5">
        <w:rPr>
          <w:rFonts w:ascii="Arial" w:hAnsi="Arial" w:cs="Arial"/>
          <w:sz w:val="22"/>
          <w:szCs w:val="22"/>
        </w:rPr>
        <w:t>to</w:t>
      </w:r>
      <w:r w:rsidR="00C76867">
        <w:rPr>
          <w:rFonts w:ascii="Arial" w:hAnsi="Arial" w:cs="Arial"/>
          <w:sz w:val="22"/>
          <w:szCs w:val="22"/>
        </w:rPr>
        <w:t xml:space="preserve"> review the purchase agreement</w:t>
      </w:r>
      <w:r w:rsidR="00304CD3">
        <w:rPr>
          <w:rFonts w:ascii="Arial" w:hAnsi="Arial" w:cs="Arial"/>
          <w:sz w:val="22"/>
          <w:szCs w:val="22"/>
        </w:rPr>
        <w:t xml:space="preserve"> prior to providing its consent to the</w:t>
      </w:r>
      <w:r w:rsidR="00CB75D0">
        <w:rPr>
          <w:rFonts w:ascii="Arial" w:hAnsi="Arial" w:cs="Arial"/>
          <w:sz w:val="22"/>
          <w:szCs w:val="22"/>
        </w:rPr>
        <w:t xml:space="preserve"> franchisee resale</w:t>
      </w:r>
      <w:r w:rsidR="00304CD3">
        <w:rPr>
          <w:rFonts w:ascii="Arial" w:hAnsi="Arial" w:cs="Arial"/>
          <w:sz w:val="22"/>
          <w:szCs w:val="22"/>
        </w:rPr>
        <w:t xml:space="preserve"> transaction</w:t>
      </w:r>
      <w:r w:rsidR="00C76867">
        <w:rPr>
          <w:rFonts w:ascii="Arial" w:hAnsi="Arial" w:cs="Arial"/>
          <w:sz w:val="22"/>
          <w:szCs w:val="22"/>
        </w:rPr>
        <w:t xml:space="preserve">. </w:t>
      </w:r>
      <w:r w:rsidR="00CB75D0">
        <w:rPr>
          <w:rFonts w:ascii="Arial" w:hAnsi="Arial" w:cs="Arial"/>
          <w:sz w:val="22"/>
          <w:szCs w:val="22"/>
        </w:rPr>
        <w:t xml:space="preserve"> While the scope of the franchisor’s review will depend on the system and the </w:t>
      </w:r>
      <w:r w:rsidR="00CB75D0">
        <w:rPr>
          <w:rFonts w:ascii="Arial" w:hAnsi="Arial" w:cs="Arial"/>
          <w:sz w:val="22"/>
          <w:szCs w:val="22"/>
        </w:rPr>
        <w:lastRenderedPageBreak/>
        <w:t>franchisee resale transaction, at a minimum t</w:t>
      </w:r>
      <w:r w:rsidR="00100033">
        <w:rPr>
          <w:rFonts w:ascii="Arial" w:hAnsi="Arial" w:cs="Arial"/>
          <w:sz w:val="22"/>
          <w:szCs w:val="22"/>
        </w:rPr>
        <w:t>he franchisor will</w:t>
      </w:r>
      <w:r w:rsidR="00CB75D0">
        <w:rPr>
          <w:rFonts w:ascii="Arial" w:hAnsi="Arial" w:cs="Arial"/>
          <w:sz w:val="22"/>
          <w:szCs w:val="22"/>
        </w:rPr>
        <w:t xml:space="preserve"> be interested in </w:t>
      </w:r>
      <w:r w:rsidR="00100033">
        <w:rPr>
          <w:rFonts w:ascii="Arial" w:hAnsi="Arial" w:cs="Arial"/>
          <w:sz w:val="22"/>
          <w:szCs w:val="22"/>
        </w:rPr>
        <w:t>ensuring</w:t>
      </w:r>
      <w:r w:rsidR="001662A5" w:rsidRPr="001662A5">
        <w:rPr>
          <w:rFonts w:ascii="Arial" w:hAnsi="Arial" w:cs="Arial"/>
          <w:sz w:val="22"/>
          <w:szCs w:val="22"/>
        </w:rPr>
        <w:t xml:space="preserve"> that the assets and obligations </w:t>
      </w:r>
      <w:r w:rsidR="00100033">
        <w:rPr>
          <w:rFonts w:ascii="Arial" w:hAnsi="Arial" w:cs="Arial"/>
          <w:sz w:val="22"/>
          <w:szCs w:val="22"/>
        </w:rPr>
        <w:t xml:space="preserve">being purchased </w:t>
      </w:r>
      <w:r w:rsidR="001662A5" w:rsidRPr="001662A5">
        <w:rPr>
          <w:rFonts w:ascii="Arial" w:hAnsi="Arial" w:cs="Arial"/>
          <w:sz w:val="22"/>
          <w:szCs w:val="22"/>
        </w:rPr>
        <w:t xml:space="preserve">and assumed by the </w:t>
      </w:r>
      <w:r w:rsidR="00505FF5">
        <w:rPr>
          <w:rFonts w:ascii="Arial" w:hAnsi="Arial" w:cs="Arial"/>
          <w:sz w:val="22"/>
          <w:szCs w:val="22"/>
        </w:rPr>
        <w:t>prospective purchaser</w:t>
      </w:r>
      <w:r w:rsidR="0003555B" w:rsidRPr="001662A5">
        <w:rPr>
          <w:rFonts w:ascii="Arial" w:hAnsi="Arial" w:cs="Arial"/>
          <w:sz w:val="22"/>
          <w:szCs w:val="22"/>
        </w:rPr>
        <w:t xml:space="preserve"> </w:t>
      </w:r>
      <w:r w:rsidR="001662A5" w:rsidRPr="001662A5">
        <w:rPr>
          <w:rFonts w:ascii="Arial" w:hAnsi="Arial" w:cs="Arial"/>
          <w:sz w:val="22"/>
          <w:szCs w:val="22"/>
        </w:rPr>
        <w:t xml:space="preserve">are </w:t>
      </w:r>
      <w:r w:rsidR="002140CA">
        <w:rPr>
          <w:rFonts w:ascii="Arial" w:hAnsi="Arial" w:cs="Arial"/>
          <w:sz w:val="22"/>
          <w:szCs w:val="22"/>
        </w:rPr>
        <w:t xml:space="preserve">properly conveyed, </w:t>
      </w:r>
      <w:r w:rsidR="00CB75D0">
        <w:rPr>
          <w:rFonts w:ascii="Arial" w:hAnsi="Arial" w:cs="Arial"/>
          <w:sz w:val="22"/>
          <w:szCs w:val="22"/>
        </w:rPr>
        <w:t xml:space="preserve">that terms of the purchase agreement are </w:t>
      </w:r>
      <w:r w:rsidR="001662A5" w:rsidRPr="001662A5">
        <w:rPr>
          <w:rFonts w:ascii="Arial" w:hAnsi="Arial" w:cs="Arial"/>
          <w:sz w:val="22"/>
          <w:szCs w:val="22"/>
        </w:rPr>
        <w:t>consistent with the franchise agreement</w:t>
      </w:r>
      <w:r w:rsidR="004C601C">
        <w:rPr>
          <w:rFonts w:ascii="Arial" w:hAnsi="Arial" w:cs="Arial"/>
          <w:sz w:val="22"/>
          <w:szCs w:val="22"/>
        </w:rPr>
        <w:t>,</w:t>
      </w:r>
      <w:r w:rsidR="001662A5" w:rsidRPr="001662A5">
        <w:rPr>
          <w:rFonts w:ascii="Arial" w:hAnsi="Arial" w:cs="Arial"/>
          <w:sz w:val="22"/>
          <w:szCs w:val="22"/>
        </w:rPr>
        <w:t xml:space="preserve"> </w:t>
      </w:r>
      <w:r w:rsidR="00CB75D0">
        <w:rPr>
          <w:rFonts w:ascii="Arial" w:hAnsi="Arial" w:cs="Arial"/>
          <w:sz w:val="22"/>
          <w:szCs w:val="22"/>
        </w:rPr>
        <w:t>and that the assets being transferred</w:t>
      </w:r>
      <w:r w:rsidR="001662A5" w:rsidRPr="001662A5">
        <w:rPr>
          <w:rFonts w:ascii="Arial" w:hAnsi="Arial" w:cs="Arial"/>
          <w:sz w:val="22"/>
          <w:szCs w:val="22"/>
        </w:rPr>
        <w:t xml:space="preserve"> are those necessary to permit the </w:t>
      </w:r>
      <w:r w:rsidR="00505FF5">
        <w:rPr>
          <w:rFonts w:ascii="Arial" w:hAnsi="Arial" w:cs="Arial"/>
          <w:sz w:val="22"/>
          <w:szCs w:val="22"/>
        </w:rPr>
        <w:t>prospective purchaser</w:t>
      </w:r>
      <w:r w:rsidR="001662A5" w:rsidRPr="001662A5">
        <w:rPr>
          <w:rFonts w:ascii="Arial" w:hAnsi="Arial" w:cs="Arial"/>
          <w:sz w:val="22"/>
          <w:szCs w:val="22"/>
        </w:rPr>
        <w:t xml:space="preserve"> to operate the</w:t>
      </w:r>
      <w:r w:rsidR="001662A5">
        <w:rPr>
          <w:rFonts w:ascii="Arial" w:hAnsi="Arial" w:cs="Arial"/>
          <w:sz w:val="22"/>
          <w:szCs w:val="22"/>
        </w:rPr>
        <w:t xml:space="preserve"> franchise</w:t>
      </w:r>
      <w:r w:rsidR="00100033">
        <w:rPr>
          <w:rFonts w:ascii="Arial" w:hAnsi="Arial" w:cs="Arial"/>
          <w:sz w:val="22"/>
          <w:szCs w:val="22"/>
        </w:rPr>
        <w:t>d business</w:t>
      </w:r>
      <w:r w:rsidR="00CB75D0">
        <w:rPr>
          <w:rFonts w:ascii="Arial" w:hAnsi="Arial" w:cs="Arial"/>
          <w:sz w:val="22"/>
          <w:szCs w:val="22"/>
        </w:rPr>
        <w:t xml:space="preserve"> post-closing</w:t>
      </w:r>
      <w:r w:rsidR="001662A5">
        <w:rPr>
          <w:rFonts w:ascii="Arial" w:hAnsi="Arial" w:cs="Arial"/>
          <w:sz w:val="22"/>
          <w:szCs w:val="22"/>
        </w:rPr>
        <w:t xml:space="preserve">. </w:t>
      </w:r>
      <w:r w:rsidR="00100033">
        <w:rPr>
          <w:rFonts w:ascii="Arial" w:hAnsi="Arial" w:cs="Arial"/>
          <w:sz w:val="22"/>
          <w:szCs w:val="22"/>
        </w:rPr>
        <w:t>In addition, t</w:t>
      </w:r>
      <w:r w:rsidR="001662A5">
        <w:rPr>
          <w:rFonts w:ascii="Arial" w:hAnsi="Arial" w:cs="Arial"/>
          <w:sz w:val="22"/>
          <w:szCs w:val="22"/>
        </w:rPr>
        <w:t xml:space="preserve">he franchisor will </w:t>
      </w:r>
      <w:r w:rsidR="00100033">
        <w:rPr>
          <w:rFonts w:ascii="Arial" w:hAnsi="Arial" w:cs="Arial"/>
          <w:sz w:val="22"/>
          <w:szCs w:val="22"/>
        </w:rPr>
        <w:t xml:space="preserve">want to </w:t>
      </w:r>
      <w:r w:rsidR="00C7765B">
        <w:rPr>
          <w:rFonts w:ascii="Arial" w:hAnsi="Arial" w:cs="Arial"/>
          <w:sz w:val="22"/>
          <w:szCs w:val="22"/>
        </w:rPr>
        <w:t xml:space="preserve">ensure that </w:t>
      </w:r>
      <w:r w:rsidR="00100033">
        <w:rPr>
          <w:rFonts w:ascii="Arial" w:hAnsi="Arial" w:cs="Arial"/>
          <w:sz w:val="22"/>
          <w:szCs w:val="22"/>
        </w:rPr>
        <w:t>the pur</w:t>
      </w:r>
      <w:r w:rsidR="002140CA">
        <w:rPr>
          <w:rFonts w:ascii="Arial" w:hAnsi="Arial" w:cs="Arial"/>
          <w:sz w:val="22"/>
          <w:szCs w:val="22"/>
        </w:rPr>
        <w:t xml:space="preserve">chase agreement </w:t>
      </w:r>
      <w:r w:rsidR="003629A3" w:rsidRPr="003629A3">
        <w:rPr>
          <w:rFonts w:ascii="Arial" w:hAnsi="Arial" w:cs="Arial"/>
          <w:sz w:val="22"/>
          <w:szCs w:val="22"/>
        </w:rPr>
        <w:t>does not purport to sell</w:t>
      </w:r>
      <w:r w:rsidR="006C0263">
        <w:rPr>
          <w:rFonts w:ascii="Arial" w:hAnsi="Arial" w:cs="Arial"/>
          <w:sz w:val="22"/>
          <w:szCs w:val="22"/>
        </w:rPr>
        <w:t xml:space="preserve"> any assets owned by the fran</w:t>
      </w:r>
      <w:r w:rsidR="006C0263" w:rsidRPr="0014505E">
        <w:rPr>
          <w:rFonts w:ascii="Arial" w:hAnsi="Arial" w:cs="Arial"/>
          <w:sz w:val="22"/>
          <w:szCs w:val="22"/>
        </w:rPr>
        <w:t xml:space="preserve">chisor (e.g., </w:t>
      </w:r>
      <w:r w:rsidR="002140CA" w:rsidRPr="0014505E">
        <w:rPr>
          <w:rFonts w:ascii="Arial" w:hAnsi="Arial" w:cs="Arial"/>
          <w:sz w:val="22"/>
          <w:szCs w:val="22"/>
        </w:rPr>
        <w:t xml:space="preserve">goodwill, </w:t>
      </w:r>
      <w:r w:rsidR="003629A3" w:rsidRPr="0014505E">
        <w:rPr>
          <w:rFonts w:ascii="Arial" w:hAnsi="Arial" w:cs="Arial"/>
          <w:sz w:val="22"/>
          <w:szCs w:val="22"/>
        </w:rPr>
        <w:t xml:space="preserve">trade-marks, </w:t>
      </w:r>
      <w:r w:rsidR="006C0263" w:rsidRPr="0014505E">
        <w:rPr>
          <w:rFonts w:ascii="Arial" w:hAnsi="Arial" w:cs="Arial"/>
          <w:sz w:val="22"/>
          <w:szCs w:val="22"/>
        </w:rPr>
        <w:t>t</w:t>
      </w:r>
      <w:r w:rsidR="003629A3" w:rsidRPr="0014505E">
        <w:rPr>
          <w:rFonts w:ascii="Arial" w:hAnsi="Arial" w:cs="Arial"/>
          <w:sz w:val="22"/>
          <w:szCs w:val="22"/>
        </w:rPr>
        <w:t xml:space="preserve">he manual, system software, customer lists, or any </w:t>
      </w:r>
      <w:r w:rsidR="006C0263" w:rsidRPr="0014505E">
        <w:rPr>
          <w:rFonts w:ascii="Arial" w:hAnsi="Arial" w:cs="Arial"/>
          <w:sz w:val="22"/>
          <w:szCs w:val="22"/>
        </w:rPr>
        <w:t xml:space="preserve">other </w:t>
      </w:r>
      <w:r w:rsidR="003629A3" w:rsidRPr="0014505E">
        <w:rPr>
          <w:rFonts w:ascii="Arial" w:hAnsi="Arial" w:cs="Arial"/>
          <w:sz w:val="22"/>
          <w:szCs w:val="22"/>
        </w:rPr>
        <w:t>proprietary aspect of the franchise system</w:t>
      </w:r>
      <w:r w:rsidR="006C0263" w:rsidRPr="0014505E">
        <w:rPr>
          <w:rFonts w:ascii="Arial" w:hAnsi="Arial" w:cs="Arial"/>
          <w:sz w:val="22"/>
          <w:szCs w:val="22"/>
        </w:rPr>
        <w:t>)</w:t>
      </w:r>
      <w:r w:rsidR="002140CA" w:rsidRPr="0014505E">
        <w:rPr>
          <w:rFonts w:ascii="Arial" w:hAnsi="Arial" w:cs="Arial"/>
          <w:sz w:val="22"/>
          <w:szCs w:val="22"/>
        </w:rPr>
        <w:t>.</w:t>
      </w:r>
    </w:p>
    <w:p w14:paraId="1E60EC3C" w14:textId="77777777" w:rsidR="00357973" w:rsidRPr="0014505E" w:rsidRDefault="00357973" w:rsidP="00A60101">
      <w:pPr>
        <w:pStyle w:val="OHHpara"/>
        <w:spacing w:after="0"/>
        <w:ind w:firstLine="720"/>
        <w:contextualSpacing/>
        <w:rPr>
          <w:rFonts w:ascii="Arial" w:hAnsi="Arial" w:cs="Arial"/>
          <w:sz w:val="22"/>
          <w:szCs w:val="22"/>
        </w:rPr>
      </w:pPr>
    </w:p>
    <w:p w14:paraId="6B5B35BC" w14:textId="3336BA25" w:rsidR="003629A3" w:rsidRDefault="003629A3" w:rsidP="003629A3">
      <w:pPr>
        <w:pStyle w:val="OHHpara"/>
        <w:spacing w:line="480" w:lineRule="auto"/>
        <w:contextualSpacing/>
        <w:rPr>
          <w:rFonts w:ascii="Arial" w:hAnsi="Arial" w:cs="Arial"/>
          <w:b/>
          <w:sz w:val="22"/>
          <w:szCs w:val="22"/>
        </w:rPr>
      </w:pPr>
      <w:r w:rsidRPr="0014505E">
        <w:rPr>
          <w:rFonts w:ascii="Arial" w:hAnsi="Arial" w:cs="Arial"/>
          <w:sz w:val="22"/>
          <w:szCs w:val="22"/>
        </w:rPr>
        <w:tab/>
      </w:r>
      <w:r w:rsidR="0037317D" w:rsidRPr="0014505E">
        <w:rPr>
          <w:rFonts w:ascii="Arial" w:hAnsi="Arial" w:cs="Arial"/>
          <w:b/>
          <w:sz w:val="22"/>
          <w:szCs w:val="22"/>
        </w:rPr>
        <w:t>(b)</w:t>
      </w:r>
      <w:r w:rsidR="0037317D" w:rsidRPr="0014505E">
        <w:rPr>
          <w:rFonts w:ascii="Arial" w:hAnsi="Arial" w:cs="Arial"/>
          <w:b/>
          <w:sz w:val="22"/>
          <w:szCs w:val="22"/>
        </w:rPr>
        <w:tab/>
      </w:r>
      <w:r w:rsidR="00165F71" w:rsidRPr="0014505E">
        <w:rPr>
          <w:rFonts w:ascii="Arial" w:hAnsi="Arial" w:cs="Arial"/>
          <w:b/>
          <w:sz w:val="22"/>
          <w:szCs w:val="22"/>
        </w:rPr>
        <w:t xml:space="preserve">Obligation to Provide </w:t>
      </w:r>
      <w:r w:rsidR="00625A5E" w:rsidRPr="0014505E">
        <w:rPr>
          <w:rFonts w:ascii="Arial" w:hAnsi="Arial" w:cs="Arial"/>
          <w:b/>
          <w:sz w:val="22"/>
          <w:szCs w:val="22"/>
        </w:rPr>
        <w:t>Franchise D</w:t>
      </w:r>
      <w:r w:rsidRPr="0014505E">
        <w:rPr>
          <w:rFonts w:ascii="Arial" w:hAnsi="Arial" w:cs="Arial"/>
          <w:b/>
          <w:sz w:val="22"/>
          <w:szCs w:val="22"/>
        </w:rPr>
        <w:t xml:space="preserve">isclosure Document </w:t>
      </w:r>
    </w:p>
    <w:p w14:paraId="495E15E4" w14:textId="77777777" w:rsidR="00E34B81" w:rsidRDefault="00E34B81" w:rsidP="00E34B81">
      <w:pPr>
        <w:pStyle w:val="OHHpara"/>
        <w:contextualSpacing/>
        <w:rPr>
          <w:rFonts w:ascii="Arial" w:hAnsi="Arial" w:cs="Arial"/>
          <w:b/>
          <w:sz w:val="22"/>
          <w:szCs w:val="22"/>
        </w:rPr>
      </w:pPr>
    </w:p>
    <w:p w14:paraId="2E486DA7" w14:textId="6A8B3137" w:rsidR="00017DC5" w:rsidRDefault="00165F71" w:rsidP="00E34B81">
      <w:pPr>
        <w:pStyle w:val="OHHpara"/>
        <w:spacing w:line="480" w:lineRule="auto"/>
        <w:contextualSpacing/>
        <w:rPr>
          <w:rFonts w:ascii="Arial" w:hAnsi="Arial" w:cs="Arial"/>
          <w:sz w:val="22"/>
          <w:szCs w:val="22"/>
        </w:rPr>
      </w:pPr>
      <w:r>
        <w:rPr>
          <w:rFonts w:ascii="Arial" w:hAnsi="Arial" w:cs="Arial"/>
          <w:sz w:val="22"/>
          <w:szCs w:val="22"/>
        </w:rPr>
        <w:t xml:space="preserve">Unless a franchisor can </w:t>
      </w:r>
      <w:r w:rsidR="00C07E37">
        <w:rPr>
          <w:rFonts w:ascii="Arial" w:hAnsi="Arial" w:cs="Arial"/>
          <w:sz w:val="22"/>
          <w:szCs w:val="22"/>
        </w:rPr>
        <w:t xml:space="preserve">rely on </w:t>
      </w:r>
      <w:r>
        <w:rPr>
          <w:rFonts w:ascii="Arial" w:hAnsi="Arial" w:cs="Arial"/>
          <w:sz w:val="22"/>
          <w:szCs w:val="22"/>
        </w:rPr>
        <w:t>an exemption</w:t>
      </w:r>
      <w:r w:rsidR="00564E13">
        <w:rPr>
          <w:rFonts w:ascii="Arial" w:hAnsi="Arial" w:cs="Arial"/>
          <w:sz w:val="22"/>
          <w:szCs w:val="22"/>
        </w:rPr>
        <w:t xml:space="preserve"> from disclosure</w:t>
      </w:r>
      <w:r>
        <w:rPr>
          <w:rFonts w:ascii="Arial" w:hAnsi="Arial" w:cs="Arial"/>
          <w:sz w:val="22"/>
          <w:szCs w:val="22"/>
        </w:rPr>
        <w:t xml:space="preserve">, it must prepare and deliver a disclosure document to the </w:t>
      </w:r>
      <w:r w:rsidR="00505FF5">
        <w:rPr>
          <w:rFonts w:ascii="Arial" w:hAnsi="Arial" w:cs="Arial"/>
          <w:sz w:val="22"/>
          <w:szCs w:val="22"/>
        </w:rPr>
        <w:t>prospective purchaser</w:t>
      </w:r>
      <w:r>
        <w:rPr>
          <w:rFonts w:ascii="Arial" w:hAnsi="Arial" w:cs="Arial"/>
          <w:sz w:val="22"/>
          <w:szCs w:val="22"/>
        </w:rPr>
        <w:t xml:space="preserve">.  </w:t>
      </w:r>
      <w:r w:rsidR="00480F6B">
        <w:rPr>
          <w:rFonts w:ascii="Arial" w:hAnsi="Arial" w:cs="Arial"/>
          <w:sz w:val="22"/>
          <w:szCs w:val="22"/>
        </w:rPr>
        <w:t xml:space="preserve">As noted above, the disclosure document must </w:t>
      </w:r>
      <w:r w:rsidR="00B87299">
        <w:rPr>
          <w:rFonts w:ascii="Arial" w:hAnsi="Arial" w:cs="Arial"/>
          <w:sz w:val="22"/>
          <w:szCs w:val="22"/>
        </w:rPr>
        <w:t>comply</w:t>
      </w:r>
      <w:r w:rsidR="00480F6B">
        <w:rPr>
          <w:rFonts w:ascii="Arial" w:hAnsi="Arial" w:cs="Arial"/>
          <w:sz w:val="22"/>
          <w:szCs w:val="22"/>
        </w:rPr>
        <w:t xml:space="preserve"> with the </w:t>
      </w:r>
      <w:r w:rsidR="00480F6B" w:rsidRPr="002F5299">
        <w:rPr>
          <w:rFonts w:ascii="Arial" w:hAnsi="Arial" w:cs="Arial"/>
          <w:sz w:val="22"/>
          <w:szCs w:val="22"/>
        </w:rPr>
        <w:t xml:space="preserve">requirements prescribed in </w:t>
      </w:r>
      <w:r w:rsidR="00480F6B">
        <w:rPr>
          <w:rFonts w:ascii="Arial" w:hAnsi="Arial" w:cs="Arial"/>
          <w:sz w:val="22"/>
          <w:szCs w:val="22"/>
        </w:rPr>
        <w:t>the Act.  For example, the disclosure document must contain all</w:t>
      </w:r>
      <w:r w:rsidR="00480F6B" w:rsidRPr="002F5299">
        <w:rPr>
          <w:rFonts w:ascii="Arial" w:hAnsi="Arial" w:cs="Arial"/>
          <w:sz w:val="22"/>
          <w:szCs w:val="22"/>
        </w:rPr>
        <w:t xml:space="preserve"> </w:t>
      </w:r>
      <w:r w:rsidR="00480F6B">
        <w:rPr>
          <w:rFonts w:ascii="Arial" w:hAnsi="Arial" w:cs="Arial"/>
          <w:sz w:val="22"/>
          <w:szCs w:val="22"/>
        </w:rPr>
        <w:t xml:space="preserve">prescribed </w:t>
      </w:r>
      <w:r w:rsidR="00480F6B" w:rsidRPr="002F5299">
        <w:rPr>
          <w:rFonts w:ascii="Arial" w:hAnsi="Arial" w:cs="Arial"/>
          <w:sz w:val="22"/>
          <w:szCs w:val="22"/>
        </w:rPr>
        <w:t>material facts, prescribed statements</w:t>
      </w:r>
      <w:r w:rsidR="00480F6B">
        <w:rPr>
          <w:rFonts w:ascii="Arial" w:hAnsi="Arial" w:cs="Arial"/>
          <w:sz w:val="22"/>
          <w:szCs w:val="22"/>
        </w:rPr>
        <w:t xml:space="preserve"> and information</w:t>
      </w:r>
      <w:r w:rsidR="00480F6B" w:rsidRPr="002F5299">
        <w:rPr>
          <w:rFonts w:ascii="Arial" w:hAnsi="Arial" w:cs="Arial"/>
          <w:sz w:val="22"/>
          <w:szCs w:val="22"/>
        </w:rPr>
        <w:t>, the franchisor’s financial statements</w:t>
      </w:r>
      <w:r w:rsidR="00480F6B">
        <w:rPr>
          <w:rFonts w:ascii="Arial" w:hAnsi="Arial" w:cs="Arial"/>
          <w:sz w:val="22"/>
          <w:szCs w:val="22"/>
        </w:rPr>
        <w:t>,</w:t>
      </w:r>
      <w:r w:rsidR="00480F6B" w:rsidRPr="002F5299">
        <w:rPr>
          <w:rFonts w:ascii="Arial" w:hAnsi="Arial" w:cs="Arial"/>
          <w:sz w:val="22"/>
          <w:szCs w:val="22"/>
        </w:rPr>
        <w:t xml:space="preserve"> </w:t>
      </w:r>
      <w:r w:rsidR="00480F6B">
        <w:rPr>
          <w:rFonts w:ascii="Arial" w:hAnsi="Arial" w:cs="Arial"/>
          <w:sz w:val="22"/>
          <w:szCs w:val="22"/>
        </w:rPr>
        <w:t>franchisor’s certificate,</w:t>
      </w:r>
      <w:r w:rsidR="00480F6B" w:rsidRPr="002F5299">
        <w:rPr>
          <w:rFonts w:ascii="Arial" w:hAnsi="Arial" w:cs="Arial"/>
          <w:sz w:val="22"/>
          <w:szCs w:val="22"/>
        </w:rPr>
        <w:t xml:space="preserve"> copies of all proposed franchise agreements and other agreements relating to the franchise to be signed by the prospective franchisee</w:t>
      </w:r>
      <w:r w:rsidR="00564E13">
        <w:rPr>
          <w:rFonts w:ascii="Arial" w:hAnsi="Arial" w:cs="Arial"/>
          <w:sz w:val="22"/>
          <w:szCs w:val="22"/>
        </w:rPr>
        <w:t xml:space="preserve">, and all other material facts.  </w:t>
      </w:r>
      <w:r w:rsidR="00017DC5">
        <w:rPr>
          <w:rFonts w:ascii="Arial" w:hAnsi="Arial" w:cs="Arial"/>
          <w:sz w:val="22"/>
          <w:szCs w:val="22"/>
        </w:rPr>
        <w:t xml:space="preserve">The disclosure document must be provided to the </w:t>
      </w:r>
      <w:r w:rsidR="00505FF5">
        <w:rPr>
          <w:rFonts w:ascii="Arial" w:hAnsi="Arial" w:cs="Arial"/>
          <w:sz w:val="22"/>
          <w:szCs w:val="22"/>
        </w:rPr>
        <w:t>prospective purchaser</w:t>
      </w:r>
      <w:r w:rsidR="00AA5AE0" w:rsidRPr="00564E13">
        <w:rPr>
          <w:rFonts w:ascii="Arial" w:hAnsi="Arial" w:cs="Arial"/>
          <w:sz w:val="22"/>
          <w:szCs w:val="22"/>
        </w:rPr>
        <w:t xml:space="preserve"> </w:t>
      </w:r>
      <w:r w:rsidR="00017DC5" w:rsidRPr="00564E13">
        <w:rPr>
          <w:rFonts w:ascii="Arial" w:hAnsi="Arial" w:cs="Arial"/>
          <w:sz w:val="22"/>
          <w:szCs w:val="22"/>
        </w:rPr>
        <w:t>at least 14 days before the earlier of (i) the signing by the</w:t>
      </w:r>
      <w:r w:rsidR="00017DC5">
        <w:rPr>
          <w:rFonts w:ascii="Arial" w:hAnsi="Arial" w:cs="Arial"/>
          <w:sz w:val="22"/>
          <w:szCs w:val="22"/>
        </w:rPr>
        <w:t xml:space="preserve"> purchaser </w:t>
      </w:r>
      <w:r w:rsidR="00017DC5" w:rsidRPr="00564E13">
        <w:rPr>
          <w:rFonts w:ascii="Arial" w:hAnsi="Arial" w:cs="Arial"/>
          <w:sz w:val="22"/>
          <w:szCs w:val="22"/>
        </w:rPr>
        <w:t>of the franchise agreement or any other agreement relating to the franchise, and (ii) the payment of any consideration relating to the franchise.  In Ontario, the 14</w:t>
      </w:r>
      <w:r w:rsidR="00393892">
        <w:rPr>
          <w:rFonts w:ascii="Arial" w:hAnsi="Arial" w:cs="Arial"/>
          <w:sz w:val="22"/>
          <w:szCs w:val="22"/>
        </w:rPr>
        <w:t xml:space="preserve"> </w:t>
      </w:r>
      <w:r w:rsidR="00017DC5" w:rsidRPr="00564E13">
        <w:rPr>
          <w:rFonts w:ascii="Arial" w:hAnsi="Arial" w:cs="Arial"/>
          <w:sz w:val="22"/>
          <w:szCs w:val="22"/>
        </w:rPr>
        <w:t xml:space="preserve">day disclosure period excludes the day on which the </w:t>
      </w:r>
      <w:r w:rsidR="00505FF5">
        <w:rPr>
          <w:rFonts w:ascii="Arial" w:hAnsi="Arial" w:cs="Arial"/>
          <w:sz w:val="22"/>
          <w:szCs w:val="22"/>
        </w:rPr>
        <w:t>prospective purchaser</w:t>
      </w:r>
      <w:r w:rsidR="00246CF5" w:rsidRPr="00564E13">
        <w:rPr>
          <w:rFonts w:ascii="Arial" w:hAnsi="Arial" w:cs="Arial"/>
          <w:sz w:val="22"/>
          <w:szCs w:val="22"/>
        </w:rPr>
        <w:t xml:space="preserve"> </w:t>
      </w:r>
      <w:r w:rsidR="00017DC5" w:rsidRPr="00564E13">
        <w:rPr>
          <w:rFonts w:ascii="Arial" w:hAnsi="Arial" w:cs="Arial"/>
          <w:sz w:val="22"/>
          <w:szCs w:val="22"/>
        </w:rPr>
        <w:t>receives the disclosure document, effectively making the disclosure period 15 days.</w:t>
      </w:r>
      <w:r w:rsidR="0014505E" w:rsidRPr="00564E13">
        <w:rPr>
          <w:rFonts w:ascii="Arial" w:hAnsi="Arial" w:cs="Arial"/>
          <w:sz w:val="22"/>
          <w:szCs w:val="22"/>
        </w:rPr>
        <w:t xml:space="preserve"> </w:t>
      </w:r>
      <w:r w:rsidR="0014505E">
        <w:rPr>
          <w:rFonts w:ascii="Arial" w:hAnsi="Arial" w:cs="Arial"/>
          <w:sz w:val="22"/>
          <w:szCs w:val="22"/>
        </w:rPr>
        <w:t xml:space="preserve"> </w:t>
      </w:r>
      <w:r w:rsidR="00052A59">
        <w:rPr>
          <w:rFonts w:ascii="Arial" w:hAnsi="Arial" w:cs="Arial"/>
          <w:sz w:val="22"/>
          <w:szCs w:val="22"/>
        </w:rPr>
        <w:t xml:space="preserve">If the franchisor </w:t>
      </w:r>
      <w:r w:rsidR="00052A59" w:rsidRPr="00564E13">
        <w:rPr>
          <w:rFonts w:ascii="Arial" w:hAnsi="Arial" w:cs="Arial"/>
          <w:sz w:val="22"/>
          <w:szCs w:val="22"/>
        </w:rPr>
        <w:t>fail</w:t>
      </w:r>
      <w:r w:rsidR="00052A59">
        <w:rPr>
          <w:rFonts w:ascii="Arial" w:hAnsi="Arial" w:cs="Arial"/>
          <w:sz w:val="22"/>
          <w:szCs w:val="22"/>
        </w:rPr>
        <w:t>s</w:t>
      </w:r>
      <w:r w:rsidR="00393892">
        <w:rPr>
          <w:rFonts w:ascii="Arial" w:hAnsi="Arial" w:cs="Arial"/>
          <w:sz w:val="22"/>
          <w:szCs w:val="22"/>
        </w:rPr>
        <w:t xml:space="preserve"> </w:t>
      </w:r>
      <w:r w:rsidR="0014505E" w:rsidRPr="00564E13">
        <w:rPr>
          <w:rFonts w:ascii="Arial" w:hAnsi="Arial" w:cs="Arial"/>
          <w:sz w:val="22"/>
          <w:szCs w:val="22"/>
        </w:rPr>
        <w:t xml:space="preserve">to disclose (or </w:t>
      </w:r>
      <w:r w:rsidR="00052A59" w:rsidRPr="00564E13">
        <w:rPr>
          <w:rFonts w:ascii="Arial" w:hAnsi="Arial" w:cs="Arial"/>
          <w:sz w:val="22"/>
          <w:szCs w:val="22"/>
        </w:rPr>
        <w:t>fail</w:t>
      </w:r>
      <w:r w:rsidR="00052A59">
        <w:rPr>
          <w:rFonts w:ascii="Arial" w:hAnsi="Arial" w:cs="Arial"/>
          <w:sz w:val="22"/>
          <w:szCs w:val="22"/>
        </w:rPr>
        <w:t>s</w:t>
      </w:r>
      <w:r w:rsidR="00052A59" w:rsidRPr="00564E13">
        <w:rPr>
          <w:rFonts w:ascii="Arial" w:hAnsi="Arial" w:cs="Arial"/>
          <w:sz w:val="22"/>
          <w:szCs w:val="22"/>
        </w:rPr>
        <w:t xml:space="preserve"> </w:t>
      </w:r>
      <w:r w:rsidR="0014505E" w:rsidRPr="00564E13">
        <w:rPr>
          <w:rFonts w:ascii="Arial" w:hAnsi="Arial" w:cs="Arial"/>
          <w:sz w:val="22"/>
          <w:szCs w:val="22"/>
        </w:rPr>
        <w:t>to adhere to the required timing and/or delivery requirements)</w:t>
      </w:r>
      <w:r w:rsidR="00D42EE5">
        <w:rPr>
          <w:rFonts w:ascii="Arial" w:hAnsi="Arial" w:cs="Arial"/>
          <w:sz w:val="22"/>
          <w:szCs w:val="22"/>
        </w:rPr>
        <w:t>,</w:t>
      </w:r>
      <w:r w:rsidR="0014505E" w:rsidRPr="00564E13">
        <w:rPr>
          <w:rFonts w:ascii="Arial" w:hAnsi="Arial" w:cs="Arial"/>
          <w:sz w:val="22"/>
          <w:szCs w:val="22"/>
        </w:rPr>
        <w:t xml:space="preserve"> the franchisee may rescind the franchise agreement and obtain the return of all monies paid </w:t>
      </w:r>
      <w:r w:rsidR="00D42EE5">
        <w:rPr>
          <w:rFonts w:ascii="Arial" w:hAnsi="Arial" w:cs="Arial"/>
          <w:sz w:val="22"/>
          <w:szCs w:val="22"/>
        </w:rPr>
        <w:t xml:space="preserve">and </w:t>
      </w:r>
      <w:r w:rsidR="0014505E" w:rsidRPr="00564E13">
        <w:rPr>
          <w:rFonts w:ascii="Arial" w:hAnsi="Arial" w:cs="Arial"/>
          <w:sz w:val="22"/>
          <w:szCs w:val="22"/>
        </w:rPr>
        <w:t>equipment purchased as well as sue for damages.</w:t>
      </w:r>
    </w:p>
    <w:p w14:paraId="78EC0A48" w14:textId="77777777" w:rsidR="00393892" w:rsidRDefault="00393892" w:rsidP="00393892">
      <w:pPr>
        <w:pStyle w:val="OHHpara"/>
        <w:spacing w:line="480" w:lineRule="auto"/>
        <w:contextualSpacing/>
        <w:rPr>
          <w:rFonts w:ascii="Arial" w:hAnsi="Arial" w:cs="Arial"/>
          <w:sz w:val="22"/>
          <w:szCs w:val="22"/>
        </w:rPr>
      </w:pPr>
    </w:p>
    <w:p w14:paraId="668016AF" w14:textId="3FB23473" w:rsidR="00A62143" w:rsidRDefault="00972597" w:rsidP="00393892">
      <w:pPr>
        <w:pStyle w:val="OHHpara"/>
        <w:spacing w:line="480" w:lineRule="auto"/>
        <w:contextualSpacing/>
        <w:rPr>
          <w:rFonts w:ascii="Arial" w:hAnsi="Arial" w:cs="Arial"/>
          <w:sz w:val="22"/>
          <w:szCs w:val="22"/>
        </w:rPr>
      </w:pPr>
      <w:r>
        <w:rPr>
          <w:rFonts w:ascii="Arial" w:hAnsi="Arial" w:cs="Arial"/>
          <w:sz w:val="22"/>
          <w:szCs w:val="22"/>
        </w:rPr>
        <w:lastRenderedPageBreak/>
        <w:t>T</w:t>
      </w:r>
      <w:r w:rsidR="00A62143">
        <w:rPr>
          <w:rFonts w:ascii="Arial" w:hAnsi="Arial" w:cs="Arial"/>
          <w:sz w:val="22"/>
          <w:szCs w:val="22"/>
        </w:rPr>
        <w:t xml:space="preserve">he disclosure document </w:t>
      </w:r>
      <w:r w:rsidR="0014505E">
        <w:rPr>
          <w:rFonts w:ascii="Arial" w:hAnsi="Arial" w:cs="Arial"/>
          <w:sz w:val="22"/>
          <w:szCs w:val="22"/>
        </w:rPr>
        <w:t xml:space="preserve">provided to a resale franchisee (i.e., the </w:t>
      </w:r>
      <w:r w:rsidR="00505FF5">
        <w:rPr>
          <w:rFonts w:ascii="Arial" w:hAnsi="Arial" w:cs="Arial"/>
          <w:sz w:val="22"/>
          <w:szCs w:val="22"/>
        </w:rPr>
        <w:t>prospective purchaser</w:t>
      </w:r>
      <w:r w:rsidR="0014505E">
        <w:rPr>
          <w:rFonts w:ascii="Arial" w:hAnsi="Arial" w:cs="Arial"/>
          <w:sz w:val="22"/>
          <w:szCs w:val="22"/>
        </w:rPr>
        <w:t xml:space="preserve">) </w:t>
      </w:r>
      <w:r w:rsidR="00A62143">
        <w:rPr>
          <w:rFonts w:ascii="Arial" w:hAnsi="Arial" w:cs="Arial"/>
          <w:sz w:val="22"/>
          <w:szCs w:val="22"/>
        </w:rPr>
        <w:t>must be customized for the particular</w:t>
      </w:r>
      <w:r w:rsidR="00393892">
        <w:rPr>
          <w:rFonts w:ascii="Arial" w:hAnsi="Arial" w:cs="Arial"/>
          <w:sz w:val="22"/>
          <w:szCs w:val="22"/>
        </w:rPr>
        <w:t xml:space="preserve"> franchisee resale</w:t>
      </w:r>
      <w:r w:rsidR="00A62143">
        <w:rPr>
          <w:rFonts w:ascii="Arial" w:hAnsi="Arial" w:cs="Arial"/>
          <w:sz w:val="22"/>
          <w:szCs w:val="22"/>
        </w:rPr>
        <w:t xml:space="preserve"> transaction. </w:t>
      </w:r>
      <w:r w:rsidR="00F821F5">
        <w:rPr>
          <w:rFonts w:ascii="Arial" w:hAnsi="Arial" w:cs="Arial"/>
          <w:sz w:val="22"/>
          <w:szCs w:val="22"/>
        </w:rPr>
        <w:t>T</w:t>
      </w:r>
      <w:r w:rsidR="00A62143" w:rsidRPr="00A62143">
        <w:rPr>
          <w:rFonts w:ascii="Arial" w:hAnsi="Arial" w:cs="Arial"/>
          <w:sz w:val="22"/>
          <w:szCs w:val="22"/>
        </w:rPr>
        <w:t>he following is a non-exhaustive list of the types of information in the standard disclosure document that may need to be customized in the context of a</w:t>
      </w:r>
      <w:r w:rsidR="0014505E">
        <w:rPr>
          <w:rFonts w:ascii="Arial" w:hAnsi="Arial" w:cs="Arial"/>
          <w:sz w:val="22"/>
          <w:szCs w:val="22"/>
        </w:rPr>
        <w:t xml:space="preserve"> </w:t>
      </w:r>
      <w:r w:rsidR="00393892">
        <w:rPr>
          <w:rFonts w:ascii="Arial" w:hAnsi="Arial" w:cs="Arial"/>
          <w:sz w:val="22"/>
          <w:szCs w:val="22"/>
        </w:rPr>
        <w:t>franchisee resale:</w:t>
      </w:r>
      <w:r w:rsidR="00A62143">
        <w:rPr>
          <w:rFonts w:ascii="Arial" w:hAnsi="Arial" w:cs="Arial"/>
          <w:sz w:val="22"/>
          <w:szCs w:val="22"/>
        </w:rPr>
        <w:t xml:space="preserve"> (i) t</w:t>
      </w:r>
      <w:r w:rsidR="00A62143" w:rsidRPr="00A62143">
        <w:rPr>
          <w:rFonts w:ascii="Arial" w:hAnsi="Arial" w:cs="Arial"/>
          <w:sz w:val="22"/>
          <w:szCs w:val="22"/>
        </w:rPr>
        <w:t>he specific location of the franchise, protected territory and any lease related documents</w:t>
      </w:r>
      <w:r w:rsidR="0014505E">
        <w:rPr>
          <w:rFonts w:ascii="Arial" w:hAnsi="Arial" w:cs="Arial"/>
          <w:sz w:val="22"/>
          <w:szCs w:val="22"/>
        </w:rPr>
        <w:t xml:space="preserve"> will be known and must be disclosed</w:t>
      </w:r>
      <w:r w:rsidR="00A62143">
        <w:rPr>
          <w:rFonts w:ascii="Arial" w:hAnsi="Arial" w:cs="Arial"/>
          <w:sz w:val="22"/>
          <w:szCs w:val="22"/>
        </w:rPr>
        <w:t>; (ii)</w:t>
      </w:r>
      <w:r w:rsidR="00A62143" w:rsidRPr="00A62143">
        <w:rPr>
          <w:rFonts w:ascii="Arial" w:hAnsi="Arial" w:cs="Arial"/>
          <w:sz w:val="22"/>
          <w:szCs w:val="22"/>
        </w:rPr>
        <w:t xml:space="preserve"> </w:t>
      </w:r>
      <w:r w:rsidR="00A62143">
        <w:rPr>
          <w:rFonts w:ascii="Arial" w:hAnsi="Arial" w:cs="Arial"/>
          <w:sz w:val="22"/>
          <w:szCs w:val="22"/>
        </w:rPr>
        <w:t xml:space="preserve">if </w:t>
      </w:r>
      <w:r w:rsidR="00A62143" w:rsidRPr="00A62143">
        <w:rPr>
          <w:rFonts w:ascii="Arial" w:hAnsi="Arial" w:cs="Arial"/>
          <w:sz w:val="22"/>
          <w:szCs w:val="22"/>
        </w:rPr>
        <w:t>certain resale financial terms were previously agreed to, these terms should replace the initial franchise deposits and franchise fees set out in t</w:t>
      </w:r>
      <w:r w:rsidR="00A62143">
        <w:rPr>
          <w:rFonts w:ascii="Arial" w:hAnsi="Arial" w:cs="Arial"/>
          <w:sz w:val="22"/>
          <w:szCs w:val="22"/>
        </w:rPr>
        <w:t>he standard disclosure document; (iii) t</w:t>
      </w:r>
      <w:r w:rsidR="00A62143" w:rsidRPr="00A62143">
        <w:rPr>
          <w:rFonts w:ascii="Arial" w:hAnsi="Arial" w:cs="Arial"/>
          <w:sz w:val="22"/>
          <w:szCs w:val="22"/>
        </w:rPr>
        <w:t xml:space="preserve">he list of costs associated with the establishment of a new franchise will be different since </w:t>
      </w:r>
      <w:r w:rsidR="00A62143">
        <w:rPr>
          <w:rFonts w:ascii="Arial" w:hAnsi="Arial" w:cs="Arial"/>
          <w:sz w:val="22"/>
          <w:szCs w:val="22"/>
        </w:rPr>
        <w:t xml:space="preserve">the </w:t>
      </w:r>
      <w:r w:rsidR="00505FF5">
        <w:rPr>
          <w:rFonts w:ascii="Arial" w:hAnsi="Arial" w:cs="Arial"/>
          <w:sz w:val="22"/>
          <w:szCs w:val="22"/>
        </w:rPr>
        <w:t>prospective purchaser</w:t>
      </w:r>
      <w:r w:rsidR="005A0A51">
        <w:rPr>
          <w:rFonts w:ascii="Arial" w:hAnsi="Arial" w:cs="Arial"/>
          <w:sz w:val="22"/>
          <w:szCs w:val="22"/>
        </w:rPr>
        <w:t xml:space="preserve"> </w:t>
      </w:r>
      <w:r w:rsidR="00A62143">
        <w:rPr>
          <w:rFonts w:ascii="Arial" w:hAnsi="Arial" w:cs="Arial"/>
          <w:sz w:val="22"/>
          <w:szCs w:val="22"/>
        </w:rPr>
        <w:t>of an existing franchise location</w:t>
      </w:r>
      <w:r w:rsidR="00A62143" w:rsidRPr="00A62143">
        <w:rPr>
          <w:rFonts w:ascii="Arial" w:hAnsi="Arial" w:cs="Arial"/>
          <w:sz w:val="22"/>
          <w:szCs w:val="22"/>
        </w:rPr>
        <w:t xml:space="preserve"> will not bear the same start-up costs as part of continuing the operation of the franchise as will a new franchisee</w:t>
      </w:r>
      <w:r w:rsidR="00017DC5">
        <w:rPr>
          <w:rFonts w:ascii="Arial" w:hAnsi="Arial" w:cs="Arial"/>
          <w:sz w:val="22"/>
          <w:szCs w:val="22"/>
        </w:rPr>
        <w:t>; (iv) i</w:t>
      </w:r>
      <w:r w:rsidR="00A62143" w:rsidRPr="00A62143">
        <w:rPr>
          <w:rFonts w:ascii="Arial" w:hAnsi="Arial" w:cs="Arial"/>
          <w:sz w:val="22"/>
          <w:szCs w:val="22"/>
        </w:rPr>
        <w:t xml:space="preserve">f the </w:t>
      </w:r>
      <w:r w:rsidR="00393892">
        <w:rPr>
          <w:rFonts w:ascii="Arial" w:hAnsi="Arial" w:cs="Arial"/>
          <w:sz w:val="22"/>
          <w:szCs w:val="22"/>
        </w:rPr>
        <w:t>prospective purchaser</w:t>
      </w:r>
      <w:r w:rsidR="00A62143" w:rsidRPr="00A62143">
        <w:rPr>
          <w:rFonts w:ascii="Arial" w:hAnsi="Arial" w:cs="Arial"/>
          <w:sz w:val="22"/>
          <w:szCs w:val="22"/>
        </w:rPr>
        <w:t xml:space="preserve"> is required to renovate the franchise as a condition of resale, the costs associated with such</w:t>
      </w:r>
      <w:r w:rsidR="00017DC5">
        <w:rPr>
          <w:rFonts w:ascii="Arial" w:hAnsi="Arial" w:cs="Arial"/>
          <w:sz w:val="22"/>
          <w:szCs w:val="22"/>
        </w:rPr>
        <w:t xml:space="preserve"> renovation</w:t>
      </w:r>
      <w:r w:rsidR="00A62143" w:rsidRPr="00A62143">
        <w:rPr>
          <w:rFonts w:ascii="Arial" w:hAnsi="Arial" w:cs="Arial"/>
          <w:sz w:val="22"/>
          <w:szCs w:val="22"/>
        </w:rPr>
        <w:t xml:space="preserve"> will need to be included in the disclosure document</w:t>
      </w:r>
      <w:r w:rsidR="00017DC5">
        <w:rPr>
          <w:rFonts w:ascii="Arial" w:hAnsi="Arial" w:cs="Arial"/>
          <w:sz w:val="22"/>
          <w:szCs w:val="22"/>
        </w:rPr>
        <w:t>; (v) i</w:t>
      </w:r>
      <w:r w:rsidR="00A62143" w:rsidRPr="00A62143">
        <w:rPr>
          <w:rFonts w:ascii="Arial" w:hAnsi="Arial" w:cs="Arial"/>
          <w:sz w:val="22"/>
          <w:szCs w:val="22"/>
        </w:rPr>
        <w:t xml:space="preserve">f an estimate or annual operating costs or earnings projection is provided, those figures applicable to a </w:t>
      </w:r>
      <w:r w:rsidR="00393892">
        <w:rPr>
          <w:rFonts w:ascii="Arial" w:hAnsi="Arial" w:cs="Arial"/>
          <w:sz w:val="22"/>
          <w:szCs w:val="22"/>
        </w:rPr>
        <w:t>prospective purchaser</w:t>
      </w:r>
      <w:r w:rsidR="00A62143" w:rsidRPr="00A62143">
        <w:rPr>
          <w:rFonts w:ascii="Arial" w:hAnsi="Arial" w:cs="Arial"/>
          <w:sz w:val="22"/>
          <w:szCs w:val="22"/>
        </w:rPr>
        <w:t xml:space="preserve"> will likely differ from those of a new franchise since they will generally be kn</w:t>
      </w:r>
      <w:r w:rsidR="00017DC5">
        <w:rPr>
          <w:rFonts w:ascii="Arial" w:hAnsi="Arial" w:cs="Arial"/>
          <w:sz w:val="22"/>
          <w:szCs w:val="22"/>
        </w:rPr>
        <w:t>own from historical information specific to the location being purchased; (vi) t</w:t>
      </w:r>
      <w:r w:rsidR="00A62143" w:rsidRPr="00A62143">
        <w:rPr>
          <w:rFonts w:ascii="Arial" w:hAnsi="Arial" w:cs="Arial"/>
          <w:sz w:val="22"/>
          <w:szCs w:val="22"/>
        </w:rPr>
        <w:t xml:space="preserve">he terms and conditions of financing arrangements may differ for a </w:t>
      </w:r>
      <w:r w:rsidR="00393892">
        <w:rPr>
          <w:rFonts w:ascii="Arial" w:hAnsi="Arial" w:cs="Arial"/>
          <w:sz w:val="22"/>
          <w:szCs w:val="22"/>
        </w:rPr>
        <w:t>prospective purchaser</w:t>
      </w:r>
      <w:r w:rsidR="00017DC5">
        <w:rPr>
          <w:rFonts w:ascii="Arial" w:hAnsi="Arial" w:cs="Arial"/>
          <w:sz w:val="22"/>
          <w:szCs w:val="22"/>
        </w:rPr>
        <w:t>; (vii) t</w:t>
      </w:r>
      <w:r w:rsidR="00A62143" w:rsidRPr="00A62143">
        <w:rPr>
          <w:rFonts w:ascii="Arial" w:hAnsi="Arial" w:cs="Arial"/>
          <w:sz w:val="22"/>
          <w:szCs w:val="22"/>
        </w:rPr>
        <w:t>he description of training or other assistance offered to</w:t>
      </w:r>
      <w:r w:rsidR="00017DC5">
        <w:rPr>
          <w:rFonts w:ascii="Arial" w:hAnsi="Arial" w:cs="Arial"/>
          <w:sz w:val="22"/>
          <w:szCs w:val="22"/>
        </w:rPr>
        <w:t xml:space="preserve"> a </w:t>
      </w:r>
      <w:r w:rsidR="00393892">
        <w:rPr>
          <w:rFonts w:ascii="Arial" w:hAnsi="Arial" w:cs="Arial"/>
          <w:sz w:val="22"/>
          <w:szCs w:val="22"/>
        </w:rPr>
        <w:t>prospective purchaser</w:t>
      </w:r>
      <w:r w:rsidR="0014505E">
        <w:rPr>
          <w:rFonts w:ascii="Arial" w:hAnsi="Arial" w:cs="Arial"/>
          <w:sz w:val="22"/>
          <w:szCs w:val="22"/>
        </w:rPr>
        <w:t xml:space="preserve"> </w:t>
      </w:r>
      <w:r w:rsidR="00A62143" w:rsidRPr="00A62143">
        <w:rPr>
          <w:rFonts w:ascii="Arial" w:hAnsi="Arial" w:cs="Arial"/>
          <w:sz w:val="22"/>
          <w:szCs w:val="22"/>
        </w:rPr>
        <w:t>will almost always be different than the training or other assistan</w:t>
      </w:r>
      <w:r w:rsidR="00017DC5">
        <w:rPr>
          <w:rFonts w:ascii="Arial" w:hAnsi="Arial" w:cs="Arial"/>
          <w:sz w:val="22"/>
          <w:szCs w:val="22"/>
        </w:rPr>
        <w:t>ce provided to a new franchisee;</w:t>
      </w:r>
      <w:r w:rsidR="0014505E">
        <w:rPr>
          <w:rFonts w:ascii="Arial" w:hAnsi="Arial" w:cs="Arial"/>
          <w:sz w:val="22"/>
          <w:szCs w:val="22"/>
        </w:rPr>
        <w:t xml:space="preserve"> and</w:t>
      </w:r>
      <w:r w:rsidR="00017DC5">
        <w:rPr>
          <w:rFonts w:ascii="Arial" w:hAnsi="Arial" w:cs="Arial"/>
          <w:sz w:val="22"/>
          <w:szCs w:val="22"/>
        </w:rPr>
        <w:t xml:space="preserve"> (viii) t</w:t>
      </w:r>
      <w:r w:rsidR="00A62143" w:rsidRPr="00A62143">
        <w:rPr>
          <w:rFonts w:ascii="Arial" w:hAnsi="Arial" w:cs="Arial"/>
          <w:sz w:val="22"/>
          <w:szCs w:val="22"/>
        </w:rPr>
        <w:t>he restrictions or conditions relating to termination, renewal or transfer may be different in respect of a particular</w:t>
      </w:r>
      <w:r w:rsidR="00393892">
        <w:rPr>
          <w:rFonts w:ascii="Arial" w:hAnsi="Arial" w:cs="Arial"/>
          <w:sz w:val="22"/>
          <w:szCs w:val="22"/>
        </w:rPr>
        <w:t xml:space="preserve"> prospective purchaser</w:t>
      </w:r>
      <w:r w:rsidR="00A62143" w:rsidRPr="00A62143">
        <w:rPr>
          <w:rFonts w:ascii="Arial" w:hAnsi="Arial" w:cs="Arial"/>
          <w:sz w:val="22"/>
          <w:szCs w:val="22"/>
        </w:rPr>
        <w:t xml:space="preserve"> as opposed to a new franchise.</w:t>
      </w:r>
      <w:r w:rsidR="000D691F">
        <w:rPr>
          <w:rFonts w:ascii="Arial" w:hAnsi="Arial" w:cs="Arial"/>
          <w:sz w:val="22"/>
          <w:szCs w:val="22"/>
        </w:rPr>
        <w:t xml:space="preserve"> </w:t>
      </w:r>
      <w:r w:rsidR="000D691F" w:rsidRPr="000D691F">
        <w:rPr>
          <w:rFonts w:ascii="Arial" w:hAnsi="Arial" w:cs="Arial"/>
          <w:sz w:val="22"/>
          <w:szCs w:val="22"/>
        </w:rPr>
        <w:t xml:space="preserve">There may be additional material facts </w:t>
      </w:r>
      <w:r w:rsidR="00CE725E">
        <w:rPr>
          <w:rFonts w:ascii="Arial" w:hAnsi="Arial" w:cs="Arial"/>
          <w:sz w:val="22"/>
          <w:szCs w:val="22"/>
        </w:rPr>
        <w:t>unique</w:t>
      </w:r>
      <w:r w:rsidR="00CE725E" w:rsidRPr="000D691F">
        <w:rPr>
          <w:rFonts w:ascii="Arial" w:hAnsi="Arial" w:cs="Arial"/>
          <w:sz w:val="22"/>
          <w:szCs w:val="22"/>
        </w:rPr>
        <w:t xml:space="preserve"> </w:t>
      </w:r>
      <w:r w:rsidR="000D691F" w:rsidRPr="000D691F">
        <w:rPr>
          <w:rFonts w:ascii="Arial" w:hAnsi="Arial" w:cs="Arial"/>
          <w:sz w:val="22"/>
          <w:szCs w:val="22"/>
        </w:rPr>
        <w:t xml:space="preserve">to the </w:t>
      </w:r>
      <w:r w:rsidR="000D691F">
        <w:rPr>
          <w:rFonts w:ascii="Arial" w:hAnsi="Arial" w:cs="Arial"/>
          <w:sz w:val="22"/>
          <w:szCs w:val="22"/>
        </w:rPr>
        <w:t>f</w:t>
      </w:r>
      <w:r w:rsidR="00393892">
        <w:rPr>
          <w:rFonts w:ascii="Arial" w:hAnsi="Arial" w:cs="Arial"/>
          <w:sz w:val="22"/>
          <w:szCs w:val="22"/>
        </w:rPr>
        <w:t xml:space="preserve">ranchisee resale </w:t>
      </w:r>
      <w:r w:rsidR="000D691F">
        <w:rPr>
          <w:rFonts w:ascii="Arial" w:hAnsi="Arial" w:cs="Arial"/>
          <w:sz w:val="22"/>
          <w:szCs w:val="22"/>
        </w:rPr>
        <w:t>transaction</w:t>
      </w:r>
      <w:r w:rsidR="000D691F" w:rsidRPr="000D691F">
        <w:rPr>
          <w:rFonts w:ascii="Arial" w:hAnsi="Arial" w:cs="Arial"/>
          <w:sz w:val="22"/>
          <w:szCs w:val="22"/>
        </w:rPr>
        <w:t xml:space="preserve"> that need to be included in the disclosure document.    </w:t>
      </w:r>
      <w:r w:rsidR="00393892">
        <w:rPr>
          <w:rFonts w:ascii="Arial" w:hAnsi="Arial" w:cs="Arial"/>
          <w:sz w:val="22"/>
          <w:szCs w:val="22"/>
        </w:rPr>
        <w:t>Each franchisee resale will require careful consideration of any unique facts that must be reflected in the disclosure document.</w:t>
      </w:r>
    </w:p>
    <w:p w14:paraId="3292FCEA" w14:textId="77777777" w:rsidR="00393892" w:rsidRDefault="00393892" w:rsidP="00393892">
      <w:pPr>
        <w:pStyle w:val="OHHpara"/>
        <w:contextualSpacing/>
        <w:rPr>
          <w:rFonts w:ascii="Arial" w:hAnsi="Arial" w:cs="Arial"/>
          <w:sz w:val="22"/>
          <w:szCs w:val="22"/>
        </w:rPr>
      </w:pPr>
    </w:p>
    <w:p w14:paraId="54B333CC" w14:textId="77777777" w:rsidR="00CD6326" w:rsidRDefault="00A764BC" w:rsidP="00393892">
      <w:pPr>
        <w:pStyle w:val="OHHpara"/>
        <w:spacing w:line="480" w:lineRule="auto"/>
        <w:contextualSpacing/>
        <w:rPr>
          <w:rFonts w:ascii="Arial" w:hAnsi="Arial" w:cs="Arial"/>
          <w:sz w:val="22"/>
          <w:szCs w:val="22"/>
        </w:rPr>
      </w:pPr>
      <w:r>
        <w:rPr>
          <w:rFonts w:ascii="Arial" w:hAnsi="Arial" w:cs="Arial"/>
          <w:sz w:val="22"/>
          <w:szCs w:val="22"/>
        </w:rPr>
        <w:t xml:space="preserve">In certain circumstances, the franchisor may be exempt from its obligation to provide a disclosure document in the context of a </w:t>
      </w:r>
      <w:r w:rsidR="00393892">
        <w:rPr>
          <w:rFonts w:ascii="Arial" w:hAnsi="Arial" w:cs="Arial"/>
          <w:sz w:val="22"/>
          <w:szCs w:val="22"/>
        </w:rPr>
        <w:t>franchisee resale</w:t>
      </w:r>
      <w:r>
        <w:rPr>
          <w:rFonts w:ascii="Arial" w:hAnsi="Arial" w:cs="Arial"/>
          <w:sz w:val="22"/>
          <w:szCs w:val="22"/>
        </w:rPr>
        <w:t xml:space="preserve">, commonly referred to as the “resale exemption”.  </w:t>
      </w:r>
      <w:r w:rsidR="00CE725E">
        <w:rPr>
          <w:rFonts w:ascii="Arial" w:hAnsi="Arial" w:cs="Arial"/>
          <w:sz w:val="22"/>
          <w:szCs w:val="22"/>
        </w:rPr>
        <w:t>Under this exemption,</w:t>
      </w:r>
      <w:r w:rsidR="00300E6F">
        <w:rPr>
          <w:rFonts w:ascii="Arial" w:hAnsi="Arial" w:cs="Arial"/>
          <w:sz w:val="22"/>
          <w:szCs w:val="22"/>
        </w:rPr>
        <w:t xml:space="preserve"> </w:t>
      </w:r>
      <w:r w:rsidRPr="00A764BC">
        <w:rPr>
          <w:rFonts w:ascii="Arial" w:hAnsi="Arial" w:cs="Arial"/>
          <w:sz w:val="22"/>
          <w:szCs w:val="22"/>
        </w:rPr>
        <w:t xml:space="preserve">a franchisor’s disclosure obligation does not apply “to the grant of a </w:t>
      </w:r>
      <w:r w:rsidRPr="00A764BC">
        <w:rPr>
          <w:rFonts w:ascii="Arial" w:hAnsi="Arial" w:cs="Arial"/>
          <w:sz w:val="22"/>
          <w:szCs w:val="22"/>
        </w:rPr>
        <w:lastRenderedPageBreak/>
        <w:t>franchise by a franchisee ... if the grant of the franchise is not effected by or through the franchisor”.</w:t>
      </w:r>
      <w:r w:rsidR="00E35C8D" w:rsidRPr="00E35C8D">
        <w:rPr>
          <w:rStyle w:val="FootnoteReference"/>
          <w:rFonts w:ascii="Arial" w:hAnsi="Arial" w:cs="Arial"/>
          <w:sz w:val="22"/>
          <w:szCs w:val="22"/>
        </w:rPr>
        <w:t xml:space="preserve"> </w:t>
      </w:r>
      <w:r w:rsidR="00E35C8D">
        <w:rPr>
          <w:rStyle w:val="FootnoteReference"/>
          <w:rFonts w:ascii="Arial" w:hAnsi="Arial" w:cs="Arial"/>
          <w:sz w:val="22"/>
          <w:szCs w:val="22"/>
        </w:rPr>
        <w:footnoteReference w:id="15"/>
      </w:r>
      <w:r w:rsidR="00E35C8D">
        <w:rPr>
          <w:rFonts w:ascii="Arial" w:hAnsi="Arial" w:cs="Arial"/>
          <w:sz w:val="22"/>
          <w:szCs w:val="22"/>
        </w:rPr>
        <w:t xml:space="preserve"> </w:t>
      </w:r>
      <w:r>
        <w:rPr>
          <w:rFonts w:ascii="Arial" w:hAnsi="Arial" w:cs="Arial"/>
          <w:sz w:val="22"/>
          <w:szCs w:val="22"/>
        </w:rPr>
        <w:t xml:space="preserve"> </w:t>
      </w:r>
      <w:r w:rsidR="001045B0">
        <w:rPr>
          <w:rFonts w:ascii="Arial" w:hAnsi="Arial" w:cs="Arial"/>
          <w:sz w:val="22"/>
          <w:szCs w:val="22"/>
        </w:rPr>
        <w:t xml:space="preserve">Under the Act, </w:t>
      </w:r>
      <w:r w:rsidRPr="00A764BC">
        <w:rPr>
          <w:rFonts w:ascii="Arial" w:hAnsi="Arial" w:cs="Arial"/>
          <w:sz w:val="22"/>
          <w:szCs w:val="22"/>
        </w:rPr>
        <w:t xml:space="preserve">a franchise is not deemed to be granted by or through a franchisor </w:t>
      </w:r>
    </w:p>
    <w:p w14:paraId="510A6B81" w14:textId="703EDFBC" w:rsidR="0058494B" w:rsidRDefault="00CD6326" w:rsidP="00393892">
      <w:pPr>
        <w:pStyle w:val="OHHpara"/>
        <w:spacing w:line="480" w:lineRule="auto"/>
        <w:contextualSpacing/>
        <w:rPr>
          <w:rFonts w:ascii="Arial" w:hAnsi="Arial" w:cs="Arial"/>
          <w:sz w:val="22"/>
          <w:szCs w:val="22"/>
        </w:rPr>
      </w:pPr>
      <w:r>
        <w:rPr>
          <w:rFonts w:ascii="Arial" w:hAnsi="Arial" w:cs="Arial"/>
          <w:sz w:val="22"/>
          <w:szCs w:val="22"/>
        </w:rPr>
        <w:t xml:space="preserve">merely because: </w:t>
      </w:r>
      <w:r w:rsidRPr="00CD6326">
        <w:rPr>
          <w:rFonts w:ascii="Arial" w:hAnsi="Arial" w:cs="Arial"/>
          <w:sz w:val="22"/>
          <w:szCs w:val="22"/>
        </w:rPr>
        <w:t>(a) the franchisor has a right, exercisable on reasonable grounds, to approve or disapprove the grant; or</w:t>
      </w:r>
      <w:r>
        <w:rPr>
          <w:rFonts w:ascii="Arial" w:hAnsi="Arial" w:cs="Arial"/>
          <w:sz w:val="22"/>
          <w:szCs w:val="22"/>
        </w:rPr>
        <w:t xml:space="preserve"> </w:t>
      </w:r>
      <w:r w:rsidRPr="00CD6326">
        <w:rPr>
          <w:rFonts w:ascii="Arial" w:hAnsi="Arial" w:cs="Arial"/>
          <w:sz w:val="22"/>
          <w:szCs w:val="22"/>
        </w:rPr>
        <w:t xml:space="preserve">(b) a transfer fee must be paid to the franchisor in an amount set out in the franchise agreement or in an amount that does not exceed the reasonable actual costs incurred by the </w:t>
      </w:r>
      <w:r>
        <w:rPr>
          <w:rFonts w:ascii="Arial" w:hAnsi="Arial" w:cs="Arial"/>
          <w:sz w:val="22"/>
          <w:szCs w:val="22"/>
        </w:rPr>
        <w:t>franchisor to process the grant</w:t>
      </w:r>
      <w:r w:rsidR="00A764BC" w:rsidRPr="00A764BC">
        <w:rPr>
          <w:rFonts w:ascii="Arial" w:hAnsi="Arial" w:cs="Arial"/>
          <w:sz w:val="22"/>
          <w:szCs w:val="22"/>
        </w:rPr>
        <w:t>.</w:t>
      </w:r>
      <w:r w:rsidR="00E35C8D">
        <w:rPr>
          <w:rStyle w:val="FootnoteReference"/>
          <w:rFonts w:ascii="Arial" w:hAnsi="Arial" w:cs="Arial"/>
          <w:sz w:val="22"/>
          <w:szCs w:val="22"/>
        </w:rPr>
        <w:footnoteReference w:id="16"/>
      </w:r>
      <w:r w:rsidR="00A764BC" w:rsidRPr="00A764BC">
        <w:rPr>
          <w:rFonts w:ascii="Arial" w:hAnsi="Arial" w:cs="Arial"/>
          <w:sz w:val="22"/>
          <w:szCs w:val="22"/>
        </w:rPr>
        <w:t xml:space="preserve"> </w:t>
      </w:r>
      <w:r w:rsidR="007B5262">
        <w:rPr>
          <w:rFonts w:ascii="Arial" w:hAnsi="Arial" w:cs="Arial"/>
          <w:sz w:val="22"/>
          <w:szCs w:val="22"/>
        </w:rPr>
        <w:t xml:space="preserve">If the franchisor is involved in the transaction in any other manner, there is a risk that the resale exemption </w:t>
      </w:r>
      <w:r w:rsidR="00E35C8D">
        <w:rPr>
          <w:rFonts w:ascii="Arial" w:hAnsi="Arial" w:cs="Arial"/>
          <w:sz w:val="22"/>
          <w:szCs w:val="22"/>
        </w:rPr>
        <w:t>will</w:t>
      </w:r>
      <w:r w:rsidR="007B5262">
        <w:rPr>
          <w:rFonts w:ascii="Arial" w:hAnsi="Arial" w:cs="Arial"/>
          <w:sz w:val="22"/>
          <w:szCs w:val="22"/>
        </w:rPr>
        <w:t xml:space="preserve"> not apply. </w:t>
      </w:r>
      <w:r w:rsidR="0058494B">
        <w:rPr>
          <w:rFonts w:ascii="Arial" w:hAnsi="Arial" w:cs="Arial"/>
          <w:sz w:val="22"/>
          <w:szCs w:val="22"/>
        </w:rPr>
        <w:t xml:space="preserve">The onus is on the franchisor to establish </w:t>
      </w:r>
      <w:r w:rsidR="007B5262">
        <w:rPr>
          <w:rFonts w:ascii="Arial" w:hAnsi="Arial" w:cs="Arial"/>
          <w:sz w:val="22"/>
          <w:szCs w:val="22"/>
        </w:rPr>
        <w:t>that the</w:t>
      </w:r>
      <w:r w:rsidR="0058494B">
        <w:rPr>
          <w:rFonts w:ascii="Arial" w:hAnsi="Arial" w:cs="Arial"/>
          <w:sz w:val="22"/>
          <w:szCs w:val="22"/>
        </w:rPr>
        <w:t xml:space="preserve"> resale exemption</w:t>
      </w:r>
      <w:r w:rsidR="00625A5E">
        <w:rPr>
          <w:rFonts w:ascii="Arial" w:hAnsi="Arial" w:cs="Arial"/>
          <w:sz w:val="22"/>
          <w:szCs w:val="22"/>
        </w:rPr>
        <w:t xml:space="preserve"> applies. </w:t>
      </w:r>
    </w:p>
    <w:p w14:paraId="371A143A" w14:textId="77777777" w:rsidR="00CD6326" w:rsidRDefault="00CD6326" w:rsidP="00CD6326">
      <w:pPr>
        <w:pStyle w:val="OHHpara"/>
        <w:contextualSpacing/>
        <w:rPr>
          <w:rFonts w:ascii="Arial" w:hAnsi="Arial" w:cs="Arial"/>
          <w:sz w:val="22"/>
          <w:szCs w:val="22"/>
        </w:rPr>
      </w:pPr>
    </w:p>
    <w:p w14:paraId="0856383B" w14:textId="3FF5E289" w:rsidR="00F56E6B" w:rsidRDefault="002D02E2" w:rsidP="000F1E49">
      <w:pPr>
        <w:pStyle w:val="OHHpara"/>
        <w:spacing w:line="480" w:lineRule="auto"/>
        <w:contextualSpacing/>
        <w:rPr>
          <w:rFonts w:ascii="Arial" w:hAnsi="Arial" w:cs="Arial"/>
          <w:sz w:val="22"/>
          <w:szCs w:val="22"/>
        </w:rPr>
      </w:pPr>
      <w:r>
        <w:rPr>
          <w:rFonts w:ascii="Arial" w:hAnsi="Arial" w:cs="Arial"/>
          <w:sz w:val="22"/>
          <w:szCs w:val="22"/>
        </w:rPr>
        <w:t xml:space="preserve">While on its face the resale </w:t>
      </w:r>
      <w:r w:rsidRPr="002D02E2">
        <w:rPr>
          <w:rFonts w:ascii="Arial" w:hAnsi="Arial" w:cs="Arial"/>
          <w:sz w:val="22"/>
          <w:szCs w:val="22"/>
        </w:rPr>
        <w:t>exemption seems relatively straightforward, courts have interpreted the exemption narrowly</w:t>
      </w:r>
      <w:r w:rsidR="00457D4D">
        <w:rPr>
          <w:rFonts w:ascii="Arial" w:hAnsi="Arial" w:cs="Arial"/>
          <w:sz w:val="22"/>
          <w:szCs w:val="22"/>
        </w:rPr>
        <w:t xml:space="preserve">; </w:t>
      </w:r>
      <w:r>
        <w:rPr>
          <w:rFonts w:ascii="Arial" w:hAnsi="Arial" w:cs="Arial"/>
          <w:sz w:val="22"/>
          <w:szCs w:val="22"/>
        </w:rPr>
        <w:t xml:space="preserve">franchisors are cautioned when trying to </w:t>
      </w:r>
      <w:r w:rsidRPr="002D02E2">
        <w:rPr>
          <w:rFonts w:ascii="Arial" w:hAnsi="Arial" w:cs="Arial"/>
          <w:sz w:val="22"/>
          <w:szCs w:val="22"/>
        </w:rPr>
        <w:t xml:space="preserve">rely on </w:t>
      </w:r>
      <w:r w:rsidR="00CA322E">
        <w:rPr>
          <w:rFonts w:ascii="Arial" w:hAnsi="Arial" w:cs="Arial"/>
          <w:sz w:val="22"/>
          <w:szCs w:val="22"/>
        </w:rPr>
        <w:t>it</w:t>
      </w:r>
      <w:r w:rsidRPr="002D02E2">
        <w:rPr>
          <w:rFonts w:ascii="Arial" w:hAnsi="Arial" w:cs="Arial"/>
          <w:sz w:val="22"/>
          <w:szCs w:val="22"/>
        </w:rPr>
        <w:t xml:space="preserve">. </w:t>
      </w:r>
      <w:r w:rsidR="00B563F3">
        <w:rPr>
          <w:rFonts w:ascii="Arial" w:hAnsi="Arial" w:cs="Arial"/>
          <w:sz w:val="22"/>
          <w:szCs w:val="22"/>
        </w:rPr>
        <w:t xml:space="preserve">While this area is still developing, </w:t>
      </w:r>
      <w:r w:rsidR="00CA322E">
        <w:rPr>
          <w:rFonts w:ascii="Arial" w:hAnsi="Arial" w:cs="Arial"/>
          <w:sz w:val="22"/>
          <w:szCs w:val="22"/>
        </w:rPr>
        <w:t>courts have</w:t>
      </w:r>
      <w:r w:rsidR="00B563F3">
        <w:rPr>
          <w:rFonts w:ascii="Arial" w:hAnsi="Arial" w:cs="Arial"/>
          <w:sz w:val="22"/>
          <w:szCs w:val="22"/>
        </w:rPr>
        <w:t xml:space="preserve"> determined that the resale exemption was </w:t>
      </w:r>
      <w:r w:rsidR="00B563F3" w:rsidRPr="00F640CB">
        <w:rPr>
          <w:rFonts w:ascii="Arial" w:hAnsi="Arial" w:cs="Arial"/>
          <w:sz w:val="22"/>
          <w:szCs w:val="22"/>
          <w:u w:val="single"/>
        </w:rPr>
        <w:t>not</w:t>
      </w:r>
      <w:r w:rsidR="00B563F3">
        <w:rPr>
          <w:rFonts w:ascii="Arial" w:hAnsi="Arial" w:cs="Arial"/>
          <w:sz w:val="22"/>
          <w:szCs w:val="22"/>
        </w:rPr>
        <w:t xml:space="preserve"> available, </w:t>
      </w:r>
      <w:r w:rsidR="00EF46EF">
        <w:rPr>
          <w:rFonts w:ascii="Arial" w:hAnsi="Arial" w:cs="Arial"/>
          <w:sz w:val="22"/>
          <w:szCs w:val="22"/>
        </w:rPr>
        <w:t>where</w:t>
      </w:r>
      <w:r w:rsidR="00B563F3">
        <w:rPr>
          <w:rFonts w:ascii="Arial" w:hAnsi="Arial" w:cs="Arial"/>
          <w:sz w:val="22"/>
          <w:szCs w:val="22"/>
        </w:rPr>
        <w:t xml:space="preserve">: </w:t>
      </w:r>
      <w:r w:rsidR="00AE634E">
        <w:rPr>
          <w:rFonts w:ascii="Arial" w:hAnsi="Arial" w:cs="Arial"/>
          <w:sz w:val="22"/>
          <w:szCs w:val="22"/>
        </w:rPr>
        <w:t>(i) the f</w:t>
      </w:r>
      <w:r w:rsidR="00B563F3" w:rsidRPr="00B563F3">
        <w:rPr>
          <w:rFonts w:ascii="Arial" w:hAnsi="Arial" w:cs="Arial"/>
          <w:sz w:val="22"/>
          <w:szCs w:val="22"/>
        </w:rPr>
        <w:t>ranchisor</w:t>
      </w:r>
      <w:r w:rsidR="00AE634E">
        <w:rPr>
          <w:rFonts w:ascii="Arial" w:hAnsi="Arial" w:cs="Arial"/>
          <w:sz w:val="22"/>
          <w:szCs w:val="22"/>
        </w:rPr>
        <w:t xml:space="preserve"> was involved in the mechanics of the transaction (e.g., the franchisor</w:t>
      </w:r>
      <w:r w:rsidR="00B563F3" w:rsidRPr="00B563F3">
        <w:rPr>
          <w:rFonts w:ascii="Arial" w:hAnsi="Arial" w:cs="Arial"/>
          <w:sz w:val="22"/>
          <w:szCs w:val="22"/>
        </w:rPr>
        <w:t xml:space="preserve"> brought the </w:t>
      </w:r>
      <w:r w:rsidR="00AE634E">
        <w:rPr>
          <w:rFonts w:ascii="Arial" w:hAnsi="Arial" w:cs="Arial"/>
          <w:sz w:val="22"/>
          <w:szCs w:val="22"/>
        </w:rPr>
        <w:t>existing</w:t>
      </w:r>
      <w:r w:rsidR="00B563F3" w:rsidRPr="00B563F3">
        <w:rPr>
          <w:rFonts w:ascii="Arial" w:hAnsi="Arial" w:cs="Arial"/>
          <w:sz w:val="22"/>
          <w:szCs w:val="22"/>
        </w:rPr>
        <w:t xml:space="preserve"> franchisee and the </w:t>
      </w:r>
      <w:r w:rsidR="00AE634E">
        <w:rPr>
          <w:rFonts w:ascii="Arial" w:hAnsi="Arial" w:cs="Arial"/>
          <w:sz w:val="22"/>
          <w:szCs w:val="22"/>
        </w:rPr>
        <w:t>purchaser</w:t>
      </w:r>
      <w:r w:rsidR="00B563F3" w:rsidRPr="00B563F3">
        <w:rPr>
          <w:rFonts w:ascii="Arial" w:hAnsi="Arial" w:cs="Arial"/>
          <w:sz w:val="22"/>
          <w:szCs w:val="22"/>
        </w:rPr>
        <w:t xml:space="preserve"> together for meetings, hosted the meetings at its facilities and prepared th</w:t>
      </w:r>
      <w:r w:rsidR="00AE634E">
        <w:rPr>
          <w:rFonts w:ascii="Arial" w:hAnsi="Arial" w:cs="Arial"/>
          <w:sz w:val="22"/>
          <w:szCs w:val="22"/>
        </w:rPr>
        <w:t>e contracts between the parties);</w:t>
      </w:r>
      <w:r w:rsidR="00AE634E" w:rsidRPr="00AE634E">
        <w:rPr>
          <w:rStyle w:val="FootnoteReference"/>
          <w:rFonts w:ascii="Arial" w:hAnsi="Arial" w:cs="Arial"/>
          <w:sz w:val="22"/>
          <w:szCs w:val="22"/>
        </w:rPr>
        <w:footnoteReference w:id="17"/>
      </w:r>
      <w:r w:rsidR="00AE634E">
        <w:rPr>
          <w:rFonts w:ascii="Arial" w:hAnsi="Arial" w:cs="Arial"/>
          <w:sz w:val="22"/>
          <w:szCs w:val="22"/>
        </w:rPr>
        <w:t xml:space="preserve"> (ii)</w:t>
      </w:r>
      <w:r w:rsidR="00B563F3" w:rsidRPr="00B563F3">
        <w:rPr>
          <w:rFonts w:ascii="Arial" w:hAnsi="Arial" w:cs="Arial"/>
          <w:sz w:val="22"/>
          <w:szCs w:val="22"/>
        </w:rPr>
        <w:t xml:space="preserve"> </w:t>
      </w:r>
      <w:r w:rsidR="00AE634E">
        <w:rPr>
          <w:rFonts w:ascii="Arial" w:hAnsi="Arial" w:cs="Arial"/>
          <w:sz w:val="22"/>
          <w:szCs w:val="22"/>
        </w:rPr>
        <w:t>the f</w:t>
      </w:r>
      <w:r w:rsidR="00AE634E" w:rsidRPr="00B563F3">
        <w:rPr>
          <w:rFonts w:ascii="Arial" w:hAnsi="Arial" w:cs="Arial"/>
          <w:sz w:val="22"/>
          <w:szCs w:val="22"/>
        </w:rPr>
        <w:t>ranchisor imposed conditions for its approval of the transaction that w</w:t>
      </w:r>
      <w:r w:rsidR="007A5FCB">
        <w:rPr>
          <w:rFonts w:ascii="Arial" w:hAnsi="Arial" w:cs="Arial"/>
          <w:sz w:val="22"/>
          <w:szCs w:val="22"/>
        </w:rPr>
        <w:t>ere</w:t>
      </w:r>
      <w:r w:rsidR="00AE634E" w:rsidRPr="00B563F3">
        <w:rPr>
          <w:rFonts w:ascii="Arial" w:hAnsi="Arial" w:cs="Arial"/>
          <w:sz w:val="22"/>
          <w:szCs w:val="22"/>
        </w:rPr>
        <w:t xml:space="preserve"> not expressly set out in the franchise agreement (i.e., requirin</w:t>
      </w:r>
      <w:r w:rsidR="00AE634E">
        <w:rPr>
          <w:rFonts w:ascii="Arial" w:hAnsi="Arial" w:cs="Arial"/>
          <w:sz w:val="22"/>
          <w:szCs w:val="22"/>
        </w:rPr>
        <w:t>g a spouse to sign a guarantee);</w:t>
      </w:r>
      <w:r w:rsidR="007A5FCB">
        <w:rPr>
          <w:rStyle w:val="FootnoteReference"/>
          <w:rFonts w:ascii="Arial" w:hAnsi="Arial" w:cs="Arial"/>
          <w:sz w:val="22"/>
          <w:szCs w:val="22"/>
        </w:rPr>
        <w:footnoteReference w:id="18"/>
      </w:r>
      <w:r w:rsidR="007A5FCB">
        <w:rPr>
          <w:rFonts w:ascii="Arial" w:hAnsi="Arial" w:cs="Arial"/>
          <w:sz w:val="22"/>
          <w:szCs w:val="22"/>
        </w:rPr>
        <w:t xml:space="preserve"> </w:t>
      </w:r>
      <w:r w:rsidR="00AE634E">
        <w:rPr>
          <w:rFonts w:ascii="Arial" w:hAnsi="Arial" w:cs="Arial"/>
          <w:sz w:val="22"/>
          <w:szCs w:val="22"/>
        </w:rPr>
        <w:t xml:space="preserve"> (iii)  </w:t>
      </w:r>
      <w:r w:rsidR="007A5FCB">
        <w:rPr>
          <w:rFonts w:ascii="Arial" w:hAnsi="Arial" w:cs="Arial"/>
          <w:sz w:val="22"/>
          <w:szCs w:val="22"/>
        </w:rPr>
        <w:t>the franchisor required the purchaser to successfully pass an interview with the franchisor, undergo training f</w:t>
      </w:r>
      <w:r w:rsidR="007A5FCB" w:rsidRPr="006F78C6">
        <w:rPr>
          <w:rFonts w:ascii="Arial" w:hAnsi="Arial" w:cs="Arial"/>
          <w:sz w:val="22"/>
          <w:szCs w:val="22"/>
        </w:rPr>
        <w:t>rom both the existing franchisee and the franchisor</w:t>
      </w:r>
      <w:r w:rsidR="007A5FCB">
        <w:rPr>
          <w:rFonts w:ascii="Arial" w:hAnsi="Arial" w:cs="Arial"/>
          <w:sz w:val="22"/>
          <w:szCs w:val="22"/>
        </w:rPr>
        <w:t xml:space="preserve">, </w:t>
      </w:r>
      <w:r w:rsidR="007A5FCB" w:rsidRPr="00CC72B1">
        <w:rPr>
          <w:rFonts w:ascii="Arial" w:hAnsi="Arial" w:cs="Arial"/>
          <w:sz w:val="22"/>
          <w:szCs w:val="22"/>
        </w:rPr>
        <w:t>assume the rights and obligations of the existing franchisee under the premises lease as sole tenant in place of the franchisor</w:t>
      </w:r>
      <w:r w:rsidR="007A5FCB">
        <w:rPr>
          <w:rFonts w:ascii="Arial" w:hAnsi="Arial" w:cs="Arial"/>
          <w:sz w:val="22"/>
          <w:szCs w:val="22"/>
        </w:rPr>
        <w:t>, and</w:t>
      </w:r>
      <w:r w:rsidR="007A5FCB" w:rsidRPr="00CC72B1">
        <w:t xml:space="preserve"> </w:t>
      </w:r>
      <w:r w:rsidR="007A5FCB" w:rsidRPr="00CC72B1">
        <w:rPr>
          <w:rFonts w:ascii="Arial" w:hAnsi="Arial" w:cs="Arial"/>
          <w:sz w:val="22"/>
          <w:szCs w:val="22"/>
        </w:rPr>
        <w:t>enter in</w:t>
      </w:r>
      <w:r w:rsidR="007A5FCB">
        <w:rPr>
          <w:rFonts w:ascii="Arial" w:hAnsi="Arial" w:cs="Arial"/>
          <w:sz w:val="22"/>
          <w:szCs w:val="22"/>
        </w:rPr>
        <w:t xml:space="preserve">to a general security agreement, which was not a requirement that the existing franchisee was required to comply </w:t>
      </w:r>
      <w:r w:rsidR="007A5FCB">
        <w:rPr>
          <w:rFonts w:ascii="Arial" w:hAnsi="Arial" w:cs="Arial"/>
          <w:sz w:val="22"/>
          <w:szCs w:val="22"/>
        </w:rPr>
        <w:lastRenderedPageBreak/>
        <w:t>with;</w:t>
      </w:r>
      <w:r w:rsidR="007A5FCB">
        <w:rPr>
          <w:rStyle w:val="FootnoteReference"/>
          <w:rFonts w:ascii="Arial" w:hAnsi="Arial" w:cs="Arial"/>
          <w:sz w:val="22"/>
          <w:szCs w:val="22"/>
        </w:rPr>
        <w:footnoteReference w:id="19"/>
      </w:r>
      <w:r w:rsidR="007A5FCB">
        <w:rPr>
          <w:rFonts w:ascii="Arial" w:hAnsi="Arial" w:cs="Arial"/>
          <w:sz w:val="22"/>
          <w:szCs w:val="22"/>
        </w:rPr>
        <w:t xml:space="preserve"> </w:t>
      </w:r>
      <w:r w:rsidR="00AE634E">
        <w:rPr>
          <w:rFonts w:ascii="Arial" w:hAnsi="Arial" w:cs="Arial"/>
          <w:sz w:val="22"/>
          <w:szCs w:val="22"/>
        </w:rPr>
        <w:t>(</w:t>
      </w:r>
      <w:r w:rsidR="00AE634E" w:rsidRPr="00CF0A73">
        <w:rPr>
          <w:rFonts w:ascii="Arial" w:hAnsi="Arial" w:cs="Arial"/>
          <w:sz w:val="22"/>
          <w:szCs w:val="22"/>
        </w:rPr>
        <w:t xml:space="preserve">iv) the franchisor required that the </w:t>
      </w:r>
      <w:r w:rsidR="00505FF5" w:rsidRPr="00CF0A73">
        <w:rPr>
          <w:rFonts w:ascii="Arial" w:hAnsi="Arial" w:cs="Arial"/>
          <w:sz w:val="22"/>
          <w:szCs w:val="22"/>
        </w:rPr>
        <w:t>purchaser</w:t>
      </w:r>
      <w:r w:rsidR="00854AD6" w:rsidRPr="00CF0A73">
        <w:rPr>
          <w:rFonts w:ascii="Arial" w:hAnsi="Arial" w:cs="Arial"/>
          <w:sz w:val="22"/>
          <w:szCs w:val="22"/>
        </w:rPr>
        <w:t xml:space="preserve"> </w:t>
      </w:r>
      <w:r w:rsidR="00AE634E" w:rsidRPr="00CF0A73">
        <w:rPr>
          <w:rFonts w:ascii="Arial" w:hAnsi="Arial" w:cs="Arial"/>
          <w:sz w:val="22"/>
          <w:szCs w:val="22"/>
        </w:rPr>
        <w:t>sign documents that w</w:t>
      </w:r>
      <w:r w:rsidR="00AE634E" w:rsidRPr="00B563F3">
        <w:rPr>
          <w:rFonts w:ascii="Arial" w:hAnsi="Arial" w:cs="Arial"/>
          <w:sz w:val="22"/>
          <w:szCs w:val="22"/>
        </w:rPr>
        <w:t xml:space="preserve">ere not originally signed by the </w:t>
      </w:r>
      <w:r w:rsidR="00AE634E">
        <w:rPr>
          <w:rFonts w:ascii="Arial" w:hAnsi="Arial" w:cs="Arial"/>
          <w:sz w:val="22"/>
          <w:szCs w:val="22"/>
        </w:rPr>
        <w:t>existing</w:t>
      </w:r>
      <w:r w:rsidR="00AE634E" w:rsidRPr="00B563F3">
        <w:rPr>
          <w:rFonts w:ascii="Arial" w:hAnsi="Arial" w:cs="Arial"/>
          <w:sz w:val="22"/>
          <w:szCs w:val="22"/>
        </w:rPr>
        <w:t xml:space="preserve"> franchisee (i.e., requiring the </w:t>
      </w:r>
      <w:r w:rsidR="00AE634E">
        <w:rPr>
          <w:rFonts w:ascii="Arial" w:hAnsi="Arial" w:cs="Arial"/>
          <w:sz w:val="22"/>
          <w:szCs w:val="22"/>
        </w:rPr>
        <w:t>purchaser</w:t>
      </w:r>
      <w:r w:rsidR="00AE634E" w:rsidRPr="00B563F3">
        <w:rPr>
          <w:rFonts w:ascii="Arial" w:hAnsi="Arial" w:cs="Arial"/>
          <w:sz w:val="22"/>
          <w:szCs w:val="22"/>
        </w:rPr>
        <w:t xml:space="preserve"> to sign an undertaking of car wrapping in connection with its obligation to bring the franchise into compliance with the then-current Retail Marketing Plan).</w:t>
      </w:r>
      <w:r w:rsidR="009A1EF6">
        <w:rPr>
          <w:rStyle w:val="FootnoteReference"/>
          <w:rFonts w:ascii="Arial" w:hAnsi="Arial" w:cs="Arial"/>
          <w:sz w:val="22"/>
          <w:szCs w:val="22"/>
        </w:rPr>
        <w:footnoteReference w:id="20"/>
      </w:r>
      <w:r w:rsidR="00F640CB">
        <w:rPr>
          <w:rFonts w:ascii="Arial" w:hAnsi="Arial" w:cs="Arial"/>
          <w:sz w:val="22"/>
          <w:szCs w:val="22"/>
        </w:rPr>
        <w:t xml:space="preserve">  </w:t>
      </w:r>
      <w:r w:rsidR="000F1E49">
        <w:rPr>
          <w:rFonts w:ascii="Arial" w:hAnsi="Arial" w:cs="Arial"/>
          <w:sz w:val="22"/>
          <w:szCs w:val="22"/>
        </w:rPr>
        <w:t>Conversely, t</w:t>
      </w:r>
      <w:r w:rsidR="009D3407">
        <w:rPr>
          <w:rFonts w:ascii="Arial" w:hAnsi="Arial" w:cs="Arial"/>
          <w:sz w:val="22"/>
          <w:szCs w:val="22"/>
        </w:rPr>
        <w:t xml:space="preserve">he </w:t>
      </w:r>
      <w:r w:rsidR="006D10DA">
        <w:rPr>
          <w:rFonts w:ascii="Arial" w:hAnsi="Arial" w:cs="Arial"/>
          <w:sz w:val="22"/>
          <w:szCs w:val="22"/>
        </w:rPr>
        <w:t>Ontario Court of Appeal</w:t>
      </w:r>
      <w:r w:rsidR="00885EDB">
        <w:rPr>
          <w:rFonts w:ascii="Arial" w:hAnsi="Arial" w:cs="Arial"/>
          <w:sz w:val="22"/>
          <w:szCs w:val="22"/>
        </w:rPr>
        <w:t xml:space="preserve"> determined that the resale example </w:t>
      </w:r>
      <w:r w:rsidR="00885EDB" w:rsidRPr="00885EDB">
        <w:rPr>
          <w:rFonts w:ascii="Arial" w:hAnsi="Arial" w:cs="Arial"/>
          <w:sz w:val="22"/>
          <w:szCs w:val="22"/>
          <w:u w:val="single"/>
        </w:rPr>
        <w:t>was</w:t>
      </w:r>
      <w:r w:rsidR="00885EDB">
        <w:rPr>
          <w:rFonts w:ascii="Arial" w:hAnsi="Arial" w:cs="Arial"/>
          <w:sz w:val="22"/>
          <w:szCs w:val="22"/>
        </w:rPr>
        <w:t xml:space="preserve"> available</w:t>
      </w:r>
      <w:r w:rsidR="008867C2">
        <w:rPr>
          <w:rFonts w:ascii="Arial" w:hAnsi="Arial" w:cs="Arial"/>
          <w:sz w:val="22"/>
          <w:szCs w:val="22"/>
        </w:rPr>
        <w:t xml:space="preserve"> in the </w:t>
      </w:r>
      <w:r w:rsidR="009C6C5D">
        <w:rPr>
          <w:rFonts w:ascii="Arial" w:hAnsi="Arial" w:cs="Arial"/>
          <w:sz w:val="22"/>
          <w:szCs w:val="22"/>
        </w:rPr>
        <w:t xml:space="preserve">recent </w:t>
      </w:r>
      <w:r w:rsidR="009C6C5D">
        <w:rPr>
          <w:rFonts w:ascii="Arial" w:hAnsi="Arial" w:cs="Arial"/>
          <w:i/>
          <w:sz w:val="22"/>
          <w:szCs w:val="22"/>
        </w:rPr>
        <w:t>MEDIchair</w:t>
      </w:r>
      <w:r w:rsidR="009C6C5D">
        <w:rPr>
          <w:rFonts w:ascii="Arial" w:hAnsi="Arial" w:cs="Arial"/>
          <w:sz w:val="22"/>
          <w:szCs w:val="22"/>
        </w:rPr>
        <w:t xml:space="preserve"> </w:t>
      </w:r>
      <w:r w:rsidR="00291B65">
        <w:rPr>
          <w:rFonts w:ascii="Arial" w:hAnsi="Arial" w:cs="Arial"/>
          <w:sz w:val="22"/>
          <w:szCs w:val="22"/>
        </w:rPr>
        <w:t>decision</w:t>
      </w:r>
      <w:r w:rsidR="00885EDB">
        <w:rPr>
          <w:rFonts w:ascii="Arial" w:hAnsi="Arial" w:cs="Arial"/>
          <w:sz w:val="22"/>
          <w:szCs w:val="22"/>
        </w:rPr>
        <w:t xml:space="preserve">.  </w:t>
      </w:r>
      <w:r w:rsidR="000F1E49">
        <w:rPr>
          <w:rFonts w:ascii="Arial" w:hAnsi="Arial" w:cs="Arial"/>
          <w:sz w:val="22"/>
          <w:szCs w:val="22"/>
        </w:rPr>
        <w:t>In this decision, t</w:t>
      </w:r>
      <w:r w:rsidR="00885EDB">
        <w:rPr>
          <w:rFonts w:ascii="Arial" w:hAnsi="Arial" w:cs="Arial"/>
          <w:sz w:val="22"/>
          <w:szCs w:val="22"/>
        </w:rPr>
        <w:t xml:space="preserve">he court </w:t>
      </w:r>
      <w:r w:rsidR="009C6C5D">
        <w:rPr>
          <w:rFonts w:ascii="Arial" w:hAnsi="Arial" w:cs="Arial"/>
          <w:sz w:val="22"/>
          <w:szCs w:val="22"/>
        </w:rPr>
        <w:t xml:space="preserve">held that the franchisor could benefit from the resale exemption because </w:t>
      </w:r>
      <w:r w:rsidR="007D10C1">
        <w:rPr>
          <w:rFonts w:ascii="Arial" w:hAnsi="Arial" w:cs="Arial"/>
          <w:sz w:val="22"/>
          <w:szCs w:val="22"/>
        </w:rPr>
        <w:t xml:space="preserve">it </w:t>
      </w:r>
      <w:bookmarkStart w:id="1" w:name="_GoBack"/>
      <w:bookmarkEnd w:id="1"/>
      <w:r w:rsidR="009C6C5D">
        <w:rPr>
          <w:rFonts w:ascii="Arial" w:hAnsi="Arial" w:cs="Arial"/>
          <w:sz w:val="22"/>
          <w:szCs w:val="22"/>
        </w:rPr>
        <w:t xml:space="preserve">had little involvement in the sale of the franchise. </w:t>
      </w:r>
      <w:r w:rsidR="00387BD7">
        <w:rPr>
          <w:rFonts w:ascii="Arial" w:hAnsi="Arial" w:cs="Arial"/>
          <w:sz w:val="22"/>
          <w:szCs w:val="22"/>
        </w:rPr>
        <w:t>T</w:t>
      </w:r>
      <w:r w:rsidR="009C6C5D">
        <w:rPr>
          <w:rFonts w:ascii="Arial" w:hAnsi="Arial" w:cs="Arial"/>
          <w:sz w:val="22"/>
          <w:szCs w:val="22"/>
        </w:rPr>
        <w:t xml:space="preserve">he franchisor gave </w:t>
      </w:r>
      <w:r w:rsidR="009C6C5D" w:rsidRPr="008610C8">
        <w:rPr>
          <w:rFonts w:ascii="Arial" w:hAnsi="Arial" w:cs="Arial"/>
          <w:sz w:val="22"/>
          <w:szCs w:val="22"/>
        </w:rPr>
        <w:t xml:space="preserve">its required approval for the transfer, took a transfer fee, </w:t>
      </w:r>
      <w:r w:rsidR="009C6C5D">
        <w:rPr>
          <w:rFonts w:ascii="Arial" w:hAnsi="Arial" w:cs="Arial"/>
          <w:sz w:val="22"/>
          <w:szCs w:val="22"/>
        </w:rPr>
        <w:t xml:space="preserve">and obtained personal covenants from the </w:t>
      </w:r>
      <w:r w:rsidR="00885EDB">
        <w:rPr>
          <w:rFonts w:ascii="Arial" w:hAnsi="Arial" w:cs="Arial"/>
          <w:sz w:val="22"/>
          <w:szCs w:val="22"/>
        </w:rPr>
        <w:t xml:space="preserve">shareholders of the </w:t>
      </w:r>
      <w:r w:rsidR="009C6C5D">
        <w:rPr>
          <w:rFonts w:ascii="Arial" w:hAnsi="Arial" w:cs="Arial"/>
          <w:sz w:val="22"/>
          <w:szCs w:val="22"/>
        </w:rPr>
        <w:t>purchaser</w:t>
      </w:r>
      <w:r w:rsidR="009C6C5D">
        <w:rPr>
          <w:rFonts w:ascii="Arial" w:hAnsi="Arial" w:cs="Arial"/>
          <w:i/>
          <w:sz w:val="22"/>
          <w:szCs w:val="22"/>
        </w:rPr>
        <w:t xml:space="preserve"> </w:t>
      </w:r>
      <w:r w:rsidR="009C6C5D">
        <w:rPr>
          <w:rFonts w:ascii="Arial" w:hAnsi="Arial" w:cs="Arial"/>
          <w:sz w:val="22"/>
          <w:szCs w:val="22"/>
        </w:rPr>
        <w:t>and a guarant</w:t>
      </w:r>
      <w:r w:rsidR="00885EDB">
        <w:rPr>
          <w:rFonts w:ascii="Arial" w:hAnsi="Arial" w:cs="Arial"/>
          <w:sz w:val="22"/>
          <w:szCs w:val="22"/>
        </w:rPr>
        <w:t>ee from the purchaser</w:t>
      </w:r>
      <w:r w:rsidR="009C6C5D">
        <w:rPr>
          <w:rFonts w:ascii="Arial" w:hAnsi="Arial" w:cs="Arial"/>
          <w:sz w:val="22"/>
          <w:szCs w:val="22"/>
        </w:rPr>
        <w:t>.</w:t>
      </w:r>
      <w:r w:rsidR="009C6C5D">
        <w:rPr>
          <w:rStyle w:val="FootnoteReference"/>
          <w:rFonts w:ascii="Arial" w:hAnsi="Arial" w:cs="Arial"/>
          <w:sz w:val="22"/>
          <w:szCs w:val="22"/>
        </w:rPr>
        <w:footnoteReference w:id="21"/>
      </w:r>
      <w:r w:rsidR="009C6C5D">
        <w:rPr>
          <w:rFonts w:ascii="Arial" w:hAnsi="Arial" w:cs="Arial"/>
          <w:sz w:val="22"/>
          <w:szCs w:val="22"/>
        </w:rPr>
        <w:t xml:space="preserve"> The application judge specifically noted that “[w]</w:t>
      </w:r>
      <w:r w:rsidR="009C6C5D" w:rsidRPr="008610C8">
        <w:rPr>
          <w:rFonts w:ascii="Arial" w:hAnsi="Arial" w:cs="Arial"/>
          <w:sz w:val="22"/>
          <w:szCs w:val="22"/>
        </w:rPr>
        <w:t>here a franchisor takes a passive role, merely agrees to the sale, and does little else beyond providing some documents, the disclosure requirements under s.</w:t>
      </w:r>
      <w:r w:rsidR="009C6C5D">
        <w:rPr>
          <w:rFonts w:ascii="Arial" w:hAnsi="Arial" w:cs="Arial"/>
          <w:sz w:val="22"/>
          <w:szCs w:val="22"/>
        </w:rPr>
        <w:t xml:space="preserve"> 5 of the Act are not triggered.”</w:t>
      </w:r>
      <w:r w:rsidR="009C6C5D">
        <w:rPr>
          <w:rStyle w:val="FootnoteReference"/>
          <w:rFonts w:ascii="Arial" w:hAnsi="Arial" w:cs="Arial"/>
          <w:sz w:val="22"/>
          <w:szCs w:val="22"/>
        </w:rPr>
        <w:footnoteReference w:id="22"/>
      </w:r>
      <w:r w:rsidR="009C6C5D">
        <w:rPr>
          <w:rFonts w:ascii="Arial" w:hAnsi="Arial" w:cs="Arial"/>
          <w:sz w:val="22"/>
          <w:szCs w:val="22"/>
        </w:rPr>
        <w:t xml:space="preserve"> </w:t>
      </w:r>
      <w:r w:rsidR="00885EDB">
        <w:rPr>
          <w:rFonts w:ascii="Arial" w:hAnsi="Arial" w:cs="Arial"/>
          <w:sz w:val="22"/>
          <w:szCs w:val="22"/>
        </w:rPr>
        <w:t xml:space="preserve"> Accordingly, </w:t>
      </w:r>
      <w:r w:rsidR="009C6C5D">
        <w:rPr>
          <w:rFonts w:ascii="Arial" w:hAnsi="Arial" w:cs="Arial"/>
          <w:sz w:val="22"/>
          <w:szCs w:val="22"/>
        </w:rPr>
        <w:t>w</w:t>
      </w:r>
      <w:r w:rsidR="009C6C5D" w:rsidRPr="002D02E2">
        <w:rPr>
          <w:rFonts w:ascii="Arial" w:hAnsi="Arial" w:cs="Arial"/>
          <w:sz w:val="22"/>
          <w:szCs w:val="22"/>
        </w:rPr>
        <w:t xml:space="preserve">hether or not the resale exemption is available </w:t>
      </w:r>
      <w:r w:rsidR="00EA246E">
        <w:rPr>
          <w:rFonts w:ascii="Arial" w:hAnsi="Arial" w:cs="Arial"/>
          <w:sz w:val="22"/>
          <w:szCs w:val="22"/>
        </w:rPr>
        <w:t>is highly</w:t>
      </w:r>
      <w:r w:rsidR="009C6C5D" w:rsidRPr="002D02E2">
        <w:rPr>
          <w:rFonts w:ascii="Arial" w:hAnsi="Arial" w:cs="Arial"/>
          <w:sz w:val="22"/>
          <w:szCs w:val="22"/>
        </w:rPr>
        <w:t xml:space="preserve"> fact dependent and needs to be assessed on a case-by-case basis.  </w:t>
      </w:r>
      <w:r w:rsidR="009C6C5D">
        <w:rPr>
          <w:rFonts w:ascii="Arial" w:hAnsi="Arial" w:cs="Arial"/>
          <w:sz w:val="22"/>
          <w:szCs w:val="22"/>
        </w:rPr>
        <w:t xml:space="preserve"> </w:t>
      </w:r>
    </w:p>
    <w:p w14:paraId="3B8F0E92" w14:textId="77777777" w:rsidR="00117D64" w:rsidRDefault="00117D64" w:rsidP="00250784">
      <w:pPr>
        <w:pStyle w:val="OHHpara"/>
        <w:ind w:firstLine="720"/>
        <w:contextualSpacing/>
        <w:rPr>
          <w:rFonts w:ascii="Arial" w:hAnsi="Arial" w:cs="Arial"/>
          <w:sz w:val="22"/>
          <w:szCs w:val="22"/>
        </w:rPr>
      </w:pPr>
    </w:p>
    <w:p w14:paraId="6CCD9381" w14:textId="20F26F71" w:rsidR="00B03B59" w:rsidRDefault="0037317D" w:rsidP="0037317D">
      <w:pPr>
        <w:pStyle w:val="OHHpara"/>
        <w:spacing w:after="0" w:line="480" w:lineRule="auto"/>
        <w:contextualSpacing/>
        <w:rPr>
          <w:rFonts w:ascii="Arial" w:hAnsi="Arial" w:cs="Arial"/>
          <w:b/>
          <w:caps/>
          <w:sz w:val="22"/>
          <w:szCs w:val="22"/>
        </w:rPr>
      </w:pPr>
      <w:r>
        <w:rPr>
          <w:rFonts w:ascii="Arial" w:hAnsi="Arial" w:cs="Arial"/>
          <w:b/>
          <w:caps/>
          <w:sz w:val="22"/>
          <w:szCs w:val="22"/>
        </w:rPr>
        <w:t>5.</w:t>
      </w:r>
      <w:r>
        <w:rPr>
          <w:rFonts w:ascii="Arial" w:hAnsi="Arial" w:cs="Arial"/>
          <w:b/>
          <w:caps/>
          <w:sz w:val="22"/>
          <w:szCs w:val="22"/>
        </w:rPr>
        <w:tab/>
      </w:r>
      <w:r w:rsidR="00B03B59" w:rsidRPr="00014C1C">
        <w:rPr>
          <w:rFonts w:ascii="Arial" w:hAnsi="Arial" w:cs="Arial"/>
          <w:b/>
          <w:caps/>
          <w:sz w:val="22"/>
          <w:szCs w:val="22"/>
        </w:rPr>
        <w:t xml:space="preserve">Unique Franchise Considerations when Conducting Due Diligence </w:t>
      </w:r>
    </w:p>
    <w:p w14:paraId="59C507F3" w14:textId="77777777" w:rsidR="00357973" w:rsidRPr="00014C1C" w:rsidRDefault="00357973" w:rsidP="000F1E49">
      <w:pPr>
        <w:pStyle w:val="OHHpara"/>
        <w:spacing w:after="0"/>
        <w:contextualSpacing/>
        <w:rPr>
          <w:rFonts w:ascii="Arial" w:hAnsi="Arial" w:cs="Arial"/>
          <w:b/>
          <w:caps/>
          <w:sz w:val="22"/>
          <w:szCs w:val="22"/>
        </w:rPr>
      </w:pPr>
    </w:p>
    <w:p w14:paraId="2DAA050A" w14:textId="777F3A8C" w:rsidR="00A64E9A" w:rsidRDefault="009F7966" w:rsidP="000F1E49">
      <w:pPr>
        <w:pStyle w:val="OHHpara"/>
        <w:spacing w:after="0" w:line="480" w:lineRule="auto"/>
        <w:contextualSpacing/>
        <w:rPr>
          <w:rFonts w:ascii="Arial" w:hAnsi="Arial" w:cs="Arial"/>
          <w:sz w:val="22"/>
          <w:szCs w:val="22"/>
        </w:rPr>
      </w:pPr>
      <w:r>
        <w:rPr>
          <w:rFonts w:ascii="Arial" w:hAnsi="Arial" w:cs="Arial"/>
          <w:sz w:val="22"/>
          <w:szCs w:val="22"/>
        </w:rPr>
        <w:t>T</w:t>
      </w:r>
      <w:r w:rsidR="00CB66C9">
        <w:rPr>
          <w:rFonts w:ascii="Arial" w:hAnsi="Arial" w:cs="Arial"/>
          <w:sz w:val="22"/>
          <w:szCs w:val="22"/>
        </w:rPr>
        <w:t>he s</w:t>
      </w:r>
      <w:r w:rsidR="00CB66C9" w:rsidRPr="008A32D7">
        <w:rPr>
          <w:rFonts w:ascii="Arial" w:hAnsi="Arial" w:cs="Arial"/>
          <w:sz w:val="22"/>
          <w:szCs w:val="22"/>
        </w:rPr>
        <w:t xml:space="preserve">ame due diligence principles </w:t>
      </w:r>
      <w:r w:rsidR="00C52B74">
        <w:rPr>
          <w:rFonts w:ascii="Arial" w:hAnsi="Arial" w:cs="Arial"/>
          <w:sz w:val="22"/>
          <w:szCs w:val="22"/>
        </w:rPr>
        <w:t xml:space="preserve">that </w:t>
      </w:r>
      <w:r w:rsidR="00CB66C9" w:rsidRPr="008A32D7">
        <w:rPr>
          <w:rFonts w:ascii="Arial" w:hAnsi="Arial" w:cs="Arial"/>
          <w:sz w:val="22"/>
          <w:szCs w:val="22"/>
        </w:rPr>
        <w:t>apply</w:t>
      </w:r>
      <w:r w:rsidR="00CB66C9">
        <w:rPr>
          <w:rFonts w:ascii="Arial" w:hAnsi="Arial" w:cs="Arial"/>
          <w:sz w:val="22"/>
          <w:szCs w:val="22"/>
        </w:rPr>
        <w:t xml:space="preserve"> </w:t>
      </w:r>
      <w:r w:rsidR="003F00D0">
        <w:rPr>
          <w:rFonts w:ascii="Arial" w:hAnsi="Arial" w:cs="Arial"/>
          <w:sz w:val="22"/>
          <w:szCs w:val="22"/>
        </w:rPr>
        <w:t xml:space="preserve">to a general business acquisition also apply </w:t>
      </w:r>
      <w:r w:rsidR="000F1E49">
        <w:rPr>
          <w:rFonts w:ascii="Arial" w:hAnsi="Arial" w:cs="Arial"/>
          <w:sz w:val="22"/>
          <w:szCs w:val="22"/>
        </w:rPr>
        <w:t>to a franchisee resale transaction</w:t>
      </w:r>
      <w:r w:rsidR="00CB66C9">
        <w:rPr>
          <w:rFonts w:ascii="Arial" w:hAnsi="Arial" w:cs="Arial"/>
          <w:sz w:val="22"/>
          <w:szCs w:val="22"/>
        </w:rPr>
        <w:t>. The ultimate goal of</w:t>
      </w:r>
      <w:r w:rsidR="003F00D0">
        <w:rPr>
          <w:rFonts w:ascii="Arial" w:hAnsi="Arial" w:cs="Arial"/>
          <w:sz w:val="22"/>
          <w:szCs w:val="22"/>
        </w:rPr>
        <w:t xml:space="preserve"> the due diligence is the same</w:t>
      </w:r>
      <w:r w:rsidR="00722AB4">
        <w:rPr>
          <w:rFonts w:ascii="Arial" w:hAnsi="Arial" w:cs="Arial"/>
          <w:sz w:val="22"/>
          <w:szCs w:val="22"/>
        </w:rPr>
        <w:t>,</w:t>
      </w:r>
      <w:r>
        <w:rPr>
          <w:rFonts w:ascii="Arial" w:hAnsi="Arial" w:cs="Arial"/>
          <w:sz w:val="22"/>
          <w:szCs w:val="22"/>
        </w:rPr>
        <w:t xml:space="preserve"> </w:t>
      </w:r>
      <w:r w:rsidR="00CB66C9">
        <w:rPr>
          <w:rFonts w:ascii="Arial" w:hAnsi="Arial" w:cs="Arial"/>
          <w:sz w:val="22"/>
          <w:szCs w:val="22"/>
        </w:rPr>
        <w:t xml:space="preserve">namely to identify </w:t>
      </w:r>
      <w:r w:rsidR="00CB66C9" w:rsidRPr="00CB66C9">
        <w:rPr>
          <w:rFonts w:ascii="Arial" w:hAnsi="Arial" w:cs="Arial"/>
          <w:sz w:val="22"/>
          <w:szCs w:val="22"/>
        </w:rPr>
        <w:t>risks</w:t>
      </w:r>
      <w:r>
        <w:rPr>
          <w:rFonts w:ascii="Arial" w:hAnsi="Arial" w:cs="Arial"/>
          <w:sz w:val="22"/>
          <w:szCs w:val="22"/>
        </w:rPr>
        <w:t>, minimize</w:t>
      </w:r>
      <w:r w:rsidR="00CB66C9" w:rsidRPr="00CB66C9">
        <w:rPr>
          <w:rFonts w:ascii="Arial" w:hAnsi="Arial" w:cs="Arial"/>
          <w:sz w:val="22"/>
          <w:szCs w:val="22"/>
        </w:rPr>
        <w:t xml:space="preserve"> post-closing surprises</w:t>
      </w:r>
      <w:r w:rsidR="00CB66C9">
        <w:rPr>
          <w:rFonts w:ascii="Arial" w:hAnsi="Arial" w:cs="Arial"/>
          <w:sz w:val="22"/>
          <w:szCs w:val="22"/>
        </w:rPr>
        <w:t>, and e</w:t>
      </w:r>
      <w:r w:rsidR="00CB66C9" w:rsidRPr="00CB66C9">
        <w:rPr>
          <w:rFonts w:ascii="Arial" w:hAnsi="Arial" w:cs="Arial"/>
          <w:sz w:val="22"/>
          <w:szCs w:val="22"/>
        </w:rPr>
        <w:t xml:space="preserve">nsure that the </w:t>
      </w:r>
      <w:r w:rsidR="00505FF5">
        <w:rPr>
          <w:rFonts w:ascii="Arial" w:hAnsi="Arial" w:cs="Arial"/>
          <w:sz w:val="22"/>
          <w:szCs w:val="22"/>
        </w:rPr>
        <w:t>prospective purchaser</w:t>
      </w:r>
      <w:r w:rsidR="00DC3FE4" w:rsidRPr="00CB66C9">
        <w:rPr>
          <w:rFonts w:ascii="Arial" w:hAnsi="Arial" w:cs="Arial"/>
          <w:sz w:val="22"/>
          <w:szCs w:val="22"/>
        </w:rPr>
        <w:t xml:space="preserve"> </w:t>
      </w:r>
      <w:r w:rsidR="00CB66C9" w:rsidRPr="00CB66C9">
        <w:rPr>
          <w:rFonts w:ascii="Arial" w:hAnsi="Arial" w:cs="Arial"/>
          <w:sz w:val="22"/>
          <w:szCs w:val="22"/>
        </w:rPr>
        <w:t>is acquiring the business that it has bargained for</w:t>
      </w:r>
      <w:r w:rsidR="00CB66C9">
        <w:rPr>
          <w:rFonts w:ascii="Arial" w:hAnsi="Arial" w:cs="Arial"/>
          <w:sz w:val="22"/>
          <w:szCs w:val="22"/>
        </w:rPr>
        <w:t xml:space="preserve">. </w:t>
      </w:r>
      <w:r w:rsidR="00EF7E99">
        <w:rPr>
          <w:rFonts w:ascii="Arial" w:hAnsi="Arial" w:cs="Arial"/>
          <w:sz w:val="22"/>
          <w:szCs w:val="22"/>
        </w:rPr>
        <w:t>The scope of the due diligence will vary depending on whether the transaction is structured as an asset</w:t>
      </w:r>
      <w:r w:rsidR="00A317CC">
        <w:rPr>
          <w:rFonts w:ascii="Arial" w:hAnsi="Arial" w:cs="Arial"/>
          <w:sz w:val="22"/>
          <w:szCs w:val="22"/>
        </w:rPr>
        <w:t>-based transaction</w:t>
      </w:r>
      <w:r w:rsidR="00EF7E99">
        <w:rPr>
          <w:rFonts w:ascii="Arial" w:hAnsi="Arial" w:cs="Arial"/>
          <w:sz w:val="22"/>
          <w:szCs w:val="22"/>
        </w:rPr>
        <w:t xml:space="preserve"> or a share</w:t>
      </w:r>
      <w:r w:rsidR="00A317CC">
        <w:rPr>
          <w:rFonts w:ascii="Arial" w:hAnsi="Arial" w:cs="Arial"/>
          <w:sz w:val="22"/>
          <w:szCs w:val="22"/>
        </w:rPr>
        <w:t>-based transaction</w:t>
      </w:r>
      <w:r w:rsidR="00EF7E99">
        <w:rPr>
          <w:rFonts w:ascii="Arial" w:hAnsi="Arial" w:cs="Arial"/>
          <w:sz w:val="22"/>
          <w:szCs w:val="22"/>
        </w:rPr>
        <w:t xml:space="preserve">. </w:t>
      </w:r>
    </w:p>
    <w:p w14:paraId="48FE8565" w14:textId="076C59C6" w:rsidR="004C4B98" w:rsidRDefault="00623EF2" w:rsidP="000F1E49">
      <w:pPr>
        <w:pStyle w:val="OHHpara"/>
        <w:spacing w:after="0" w:line="480" w:lineRule="auto"/>
        <w:contextualSpacing/>
        <w:rPr>
          <w:rFonts w:ascii="Arial" w:hAnsi="Arial" w:cs="Arial"/>
          <w:sz w:val="22"/>
          <w:szCs w:val="22"/>
        </w:rPr>
      </w:pPr>
      <w:r>
        <w:rPr>
          <w:rFonts w:ascii="Arial" w:hAnsi="Arial" w:cs="Arial"/>
          <w:sz w:val="22"/>
          <w:szCs w:val="22"/>
        </w:rPr>
        <w:lastRenderedPageBreak/>
        <w:t>In an</w:t>
      </w:r>
      <w:r w:rsidR="00A317CC">
        <w:rPr>
          <w:rFonts w:ascii="Arial" w:hAnsi="Arial" w:cs="Arial"/>
          <w:sz w:val="22"/>
          <w:szCs w:val="22"/>
        </w:rPr>
        <w:t xml:space="preserve"> asset-based transaction</w:t>
      </w:r>
      <w:r w:rsidR="003F0134">
        <w:rPr>
          <w:rFonts w:ascii="Arial" w:hAnsi="Arial" w:cs="Arial"/>
          <w:sz w:val="22"/>
          <w:szCs w:val="22"/>
        </w:rPr>
        <w:t>,</w:t>
      </w:r>
      <w:r w:rsidR="00EF7E99">
        <w:rPr>
          <w:rFonts w:ascii="Arial" w:hAnsi="Arial" w:cs="Arial"/>
          <w:sz w:val="22"/>
          <w:szCs w:val="22"/>
        </w:rPr>
        <w:t xml:space="preserve"> </w:t>
      </w:r>
      <w:r>
        <w:rPr>
          <w:rFonts w:ascii="Arial" w:hAnsi="Arial" w:cs="Arial"/>
          <w:sz w:val="22"/>
          <w:szCs w:val="22"/>
        </w:rPr>
        <w:t xml:space="preserve">the </w:t>
      </w:r>
      <w:r w:rsidR="00505FF5">
        <w:rPr>
          <w:rFonts w:ascii="Arial" w:hAnsi="Arial" w:cs="Arial"/>
          <w:sz w:val="22"/>
          <w:szCs w:val="22"/>
        </w:rPr>
        <w:t>prospective purchaser</w:t>
      </w:r>
      <w:r w:rsidR="00183C32">
        <w:rPr>
          <w:rFonts w:ascii="Arial" w:hAnsi="Arial" w:cs="Arial"/>
          <w:sz w:val="22"/>
          <w:szCs w:val="22"/>
        </w:rPr>
        <w:t xml:space="preserve"> can choose to purchase</w:t>
      </w:r>
      <w:r>
        <w:rPr>
          <w:rFonts w:ascii="Arial" w:hAnsi="Arial" w:cs="Arial"/>
          <w:sz w:val="22"/>
          <w:szCs w:val="22"/>
        </w:rPr>
        <w:t xml:space="preserve"> some or all of the assets</w:t>
      </w:r>
      <w:r w:rsidR="00812B25">
        <w:rPr>
          <w:rFonts w:ascii="Arial" w:hAnsi="Arial" w:cs="Arial"/>
          <w:sz w:val="22"/>
          <w:szCs w:val="22"/>
        </w:rPr>
        <w:t xml:space="preserve"> and liabilities</w:t>
      </w:r>
      <w:r w:rsidR="00424642">
        <w:rPr>
          <w:rFonts w:ascii="Arial" w:hAnsi="Arial" w:cs="Arial"/>
          <w:sz w:val="22"/>
          <w:szCs w:val="22"/>
        </w:rPr>
        <w:t xml:space="preserve"> of the franchise. As a result, </w:t>
      </w:r>
      <w:r>
        <w:rPr>
          <w:rFonts w:ascii="Arial" w:hAnsi="Arial" w:cs="Arial"/>
          <w:sz w:val="22"/>
          <w:szCs w:val="22"/>
        </w:rPr>
        <w:t xml:space="preserve">due diligence will </w:t>
      </w:r>
      <w:r w:rsidR="006D614C">
        <w:rPr>
          <w:rFonts w:ascii="Arial" w:hAnsi="Arial" w:cs="Arial"/>
          <w:sz w:val="22"/>
          <w:szCs w:val="22"/>
        </w:rPr>
        <w:t xml:space="preserve">generally </w:t>
      </w:r>
      <w:r>
        <w:rPr>
          <w:rFonts w:ascii="Arial" w:hAnsi="Arial" w:cs="Arial"/>
          <w:sz w:val="22"/>
          <w:szCs w:val="22"/>
        </w:rPr>
        <w:t>focus on identifying:</w:t>
      </w:r>
      <w:r w:rsidR="003F0134">
        <w:rPr>
          <w:rFonts w:ascii="Arial" w:hAnsi="Arial" w:cs="Arial"/>
          <w:sz w:val="22"/>
          <w:szCs w:val="22"/>
        </w:rPr>
        <w:t xml:space="preserve"> (i) </w:t>
      </w:r>
      <w:r w:rsidRPr="00623EF2">
        <w:rPr>
          <w:rFonts w:ascii="Arial" w:hAnsi="Arial" w:cs="Arial"/>
          <w:sz w:val="22"/>
          <w:szCs w:val="22"/>
        </w:rPr>
        <w:t>where the value of the business</w:t>
      </w:r>
      <w:r w:rsidR="00561534">
        <w:rPr>
          <w:rFonts w:ascii="Arial" w:hAnsi="Arial" w:cs="Arial"/>
          <w:sz w:val="22"/>
          <w:szCs w:val="22"/>
        </w:rPr>
        <w:t xml:space="preserve"> lies</w:t>
      </w:r>
      <w:r w:rsidRPr="00623EF2">
        <w:rPr>
          <w:rFonts w:ascii="Arial" w:hAnsi="Arial" w:cs="Arial"/>
          <w:sz w:val="22"/>
          <w:szCs w:val="22"/>
        </w:rPr>
        <w:t xml:space="preserve"> (e.g., inventory, personal property, real property, intangibles, receivables, prepaid, expenses, books and</w:t>
      </w:r>
      <w:r>
        <w:rPr>
          <w:rFonts w:ascii="Arial" w:hAnsi="Arial" w:cs="Arial"/>
          <w:sz w:val="22"/>
          <w:szCs w:val="22"/>
        </w:rPr>
        <w:t xml:space="preserve"> records, licenses</w:t>
      </w:r>
      <w:r w:rsidR="00A317CC">
        <w:rPr>
          <w:rFonts w:ascii="Arial" w:hAnsi="Arial" w:cs="Arial"/>
          <w:sz w:val="22"/>
          <w:szCs w:val="22"/>
        </w:rPr>
        <w:t>, etc.</w:t>
      </w:r>
      <w:r>
        <w:rPr>
          <w:rFonts w:ascii="Arial" w:hAnsi="Arial" w:cs="Arial"/>
          <w:sz w:val="22"/>
          <w:szCs w:val="22"/>
        </w:rPr>
        <w:t>);</w:t>
      </w:r>
      <w:r w:rsidR="003F0134">
        <w:rPr>
          <w:rFonts w:ascii="Arial" w:hAnsi="Arial" w:cs="Arial"/>
          <w:sz w:val="22"/>
          <w:szCs w:val="22"/>
        </w:rPr>
        <w:t xml:space="preserve"> (ii) </w:t>
      </w:r>
      <w:r>
        <w:rPr>
          <w:rFonts w:ascii="Arial" w:hAnsi="Arial" w:cs="Arial"/>
          <w:sz w:val="22"/>
          <w:szCs w:val="22"/>
        </w:rPr>
        <w:t>w</w:t>
      </w:r>
      <w:r w:rsidRPr="00623EF2">
        <w:rPr>
          <w:rFonts w:ascii="Arial" w:hAnsi="Arial" w:cs="Arial"/>
          <w:sz w:val="22"/>
          <w:szCs w:val="22"/>
        </w:rPr>
        <w:t xml:space="preserve">hether any other party has an interest in the assets (e.g., third parties with </w:t>
      </w:r>
      <w:r w:rsidR="003F0134">
        <w:rPr>
          <w:rFonts w:ascii="Arial" w:hAnsi="Arial" w:cs="Arial"/>
          <w:sz w:val="22"/>
          <w:szCs w:val="22"/>
        </w:rPr>
        <w:t xml:space="preserve">security </w:t>
      </w:r>
      <w:r w:rsidR="00FF2E38">
        <w:rPr>
          <w:rFonts w:ascii="Arial" w:hAnsi="Arial" w:cs="Arial"/>
          <w:sz w:val="22"/>
          <w:szCs w:val="22"/>
        </w:rPr>
        <w:t xml:space="preserve">interests in </w:t>
      </w:r>
      <w:r w:rsidRPr="00623EF2">
        <w:rPr>
          <w:rFonts w:ascii="Arial" w:hAnsi="Arial" w:cs="Arial"/>
          <w:sz w:val="22"/>
          <w:szCs w:val="22"/>
        </w:rPr>
        <w:t>the asset</w:t>
      </w:r>
      <w:r w:rsidR="003F0134">
        <w:rPr>
          <w:rFonts w:ascii="Arial" w:hAnsi="Arial" w:cs="Arial"/>
          <w:sz w:val="22"/>
          <w:szCs w:val="22"/>
        </w:rPr>
        <w:t>s</w:t>
      </w:r>
      <w:r w:rsidRPr="00623EF2">
        <w:rPr>
          <w:rFonts w:ascii="Arial" w:hAnsi="Arial" w:cs="Arial"/>
          <w:sz w:val="22"/>
          <w:szCs w:val="22"/>
        </w:rPr>
        <w:t>)</w:t>
      </w:r>
      <w:r>
        <w:rPr>
          <w:rFonts w:ascii="Arial" w:hAnsi="Arial" w:cs="Arial"/>
          <w:sz w:val="22"/>
          <w:szCs w:val="22"/>
        </w:rPr>
        <w:t xml:space="preserve">; </w:t>
      </w:r>
      <w:r w:rsidR="003F0134">
        <w:rPr>
          <w:rFonts w:ascii="Arial" w:hAnsi="Arial" w:cs="Arial"/>
          <w:sz w:val="22"/>
          <w:szCs w:val="22"/>
        </w:rPr>
        <w:t xml:space="preserve">(iii) </w:t>
      </w:r>
      <w:r>
        <w:rPr>
          <w:rFonts w:ascii="Arial" w:hAnsi="Arial" w:cs="Arial"/>
          <w:sz w:val="22"/>
          <w:szCs w:val="22"/>
        </w:rPr>
        <w:t xml:space="preserve">any </w:t>
      </w:r>
      <w:r w:rsidR="009E2731">
        <w:rPr>
          <w:rFonts w:ascii="Arial" w:hAnsi="Arial" w:cs="Arial"/>
          <w:sz w:val="22"/>
          <w:szCs w:val="22"/>
        </w:rPr>
        <w:t>restrictions on</w:t>
      </w:r>
      <w:r w:rsidRPr="00623EF2">
        <w:rPr>
          <w:rFonts w:ascii="Arial" w:hAnsi="Arial" w:cs="Arial"/>
          <w:sz w:val="22"/>
          <w:szCs w:val="22"/>
        </w:rPr>
        <w:t xml:space="preserve"> transferring the assets to the </w:t>
      </w:r>
      <w:r w:rsidR="00505FF5">
        <w:rPr>
          <w:rFonts w:ascii="Arial" w:hAnsi="Arial" w:cs="Arial"/>
          <w:sz w:val="22"/>
          <w:szCs w:val="22"/>
        </w:rPr>
        <w:t>prospective purchaser</w:t>
      </w:r>
      <w:r w:rsidR="006D614C">
        <w:rPr>
          <w:rFonts w:ascii="Arial" w:hAnsi="Arial" w:cs="Arial"/>
          <w:sz w:val="22"/>
          <w:szCs w:val="22"/>
        </w:rPr>
        <w:t xml:space="preserve"> </w:t>
      </w:r>
      <w:r w:rsidRPr="00623EF2">
        <w:rPr>
          <w:rFonts w:ascii="Arial" w:hAnsi="Arial" w:cs="Arial"/>
          <w:sz w:val="22"/>
          <w:szCs w:val="22"/>
        </w:rPr>
        <w:t>(e.g., third party consents, notifying government aut</w:t>
      </w:r>
      <w:r>
        <w:rPr>
          <w:rFonts w:ascii="Arial" w:hAnsi="Arial" w:cs="Arial"/>
          <w:sz w:val="22"/>
          <w:szCs w:val="22"/>
        </w:rPr>
        <w:t>horities, etc.);</w:t>
      </w:r>
      <w:r w:rsidR="003F0134">
        <w:rPr>
          <w:rFonts w:ascii="Arial" w:hAnsi="Arial" w:cs="Arial"/>
          <w:sz w:val="22"/>
          <w:szCs w:val="22"/>
        </w:rPr>
        <w:t xml:space="preserve"> and (iv) identifying </w:t>
      </w:r>
      <w:r w:rsidRPr="00623EF2">
        <w:rPr>
          <w:rFonts w:ascii="Arial" w:hAnsi="Arial" w:cs="Arial"/>
          <w:sz w:val="22"/>
          <w:szCs w:val="22"/>
        </w:rPr>
        <w:t>the liabilities and obligations that the purchaser will assume</w:t>
      </w:r>
      <w:r>
        <w:rPr>
          <w:rFonts w:ascii="Arial" w:hAnsi="Arial" w:cs="Arial"/>
          <w:sz w:val="22"/>
          <w:szCs w:val="22"/>
        </w:rPr>
        <w:t>.</w:t>
      </w:r>
      <w:r w:rsidR="00A317CC">
        <w:rPr>
          <w:rFonts w:ascii="Arial" w:hAnsi="Arial" w:cs="Arial"/>
          <w:sz w:val="22"/>
          <w:szCs w:val="22"/>
        </w:rPr>
        <w:t xml:space="preserve"> </w:t>
      </w:r>
      <w:r>
        <w:rPr>
          <w:rFonts w:ascii="Arial" w:hAnsi="Arial" w:cs="Arial"/>
          <w:sz w:val="22"/>
          <w:szCs w:val="22"/>
        </w:rPr>
        <w:t>In contrast, in a share</w:t>
      </w:r>
      <w:r w:rsidR="00A317CC">
        <w:rPr>
          <w:rFonts w:ascii="Arial" w:hAnsi="Arial" w:cs="Arial"/>
          <w:sz w:val="22"/>
          <w:szCs w:val="22"/>
        </w:rPr>
        <w:t>-based</w:t>
      </w:r>
      <w:r>
        <w:rPr>
          <w:rFonts w:ascii="Arial" w:hAnsi="Arial" w:cs="Arial"/>
          <w:sz w:val="22"/>
          <w:szCs w:val="22"/>
        </w:rPr>
        <w:t xml:space="preserve"> </w:t>
      </w:r>
      <w:r w:rsidR="00CE106D">
        <w:rPr>
          <w:rFonts w:ascii="Arial" w:hAnsi="Arial" w:cs="Arial"/>
          <w:sz w:val="22"/>
          <w:szCs w:val="22"/>
        </w:rPr>
        <w:t>transaction</w:t>
      </w:r>
      <w:r w:rsidR="00210904">
        <w:rPr>
          <w:rFonts w:ascii="Arial" w:hAnsi="Arial" w:cs="Arial"/>
          <w:sz w:val="22"/>
          <w:szCs w:val="22"/>
        </w:rPr>
        <w:t>,</w:t>
      </w:r>
      <w:r w:rsidR="00CE106D">
        <w:rPr>
          <w:rFonts w:ascii="Arial" w:hAnsi="Arial" w:cs="Arial"/>
          <w:sz w:val="22"/>
          <w:szCs w:val="22"/>
        </w:rPr>
        <w:t xml:space="preserve"> </w:t>
      </w:r>
      <w:r>
        <w:rPr>
          <w:rFonts w:ascii="Arial" w:hAnsi="Arial" w:cs="Arial"/>
          <w:sz w:val="22"/>
          <w:szCs w:val="22"/>
        </w:rPr>
        <w:t xml:space="preserve">the </w:t>
      </w:r>
      <w:r w:rsidR="00505FF5">
        <w:rPr>
          <w:rFonts w:ascii="Arial" w:hAnsi="Arial" w:cs="Arial"/>
          <w:sz w:val="22"/>
          <w:szCs w:val="22"/>
        </w:rPr>
        <w:t>prospective purchaser</w:t>
      </w:r>
      <w:r w:rsidR="002304B8">
        <w:rPr>
          <w:rFonts w:ascii="Arial" w:hAnsi="Arial" w:cs="Arial"/>
          <w:sz w:val="22"/>
          <w:szCs w:val="22"/>
        </w:rPr>
        <w:t xml:space="preserve"> </w:t>
      </w:r>
      <w:r>
        <w:rPr>
          <w:rFonts w:ascii="Arial" w:hAnsi="Arial" w:cs="Arial"/>
          <w:sz w:val="22"/>
          <w:szCs w:val="22"/>
        </w:rPr>
        <w:t xml:space="preserve">is </w:t>
      </w:r>
      <w:r w:rsidR="007A09CF">
        <w:rPr>
          <w:rFonts w:ascii="Arial" w:hAnsi="Arial" w:cs="Arial"/>
          <w:sz w:val="22"/>
          <w:szCs w:val="22"/>
        </w:rPr>
        <w:t xml:space="preserve">purchasing shares in the corporation under which the </w:t>
      </w:r>
      <w:r w:rsidR="006457CF">
        <w:rPr>
          <w:rFonts w:ascii="Arial" w:hAnsi="Arial" w:cs="Arial"/>
          <w:sz w:val="22"/>
          <w:szCs w:val="22"/>
        </w:rPr>
        <w:t xml:space="preserve">existing </w:t>
      </w:r>
      <w:r w:rsidR="007A09CF">
        <w:rPr>
          <w:rFonts w:ascii="Arial" w:hAnsi="Arial" w:cs="Arial"/>
          <w:sz w:val="22"/>
          <w:szCs w:val="22"/>
        </w:rPr>
        <w:t xml:space="preserve">franchisee is </w:t>
      </w:r>
      <w:r w:rsidR="0035621D">
        <w:rPr>
          <w:rFonts w:ascii="Arial" w:hAnsi="Arial" w:cs="Arial"/>
          <w:sz w:val="22"/>
          <w:szCs w:val="22"/>
        </w:rPr>
        <w:t>operating the franchise. Unlike in an asset</w:t>
      </w:r>
      <w:r w:rsidR="00A317CC">
        <w:rPr>
          <w:rFonts w:ascii="Arial" w:hAnsi="Arial" w:cs="Arial"/>
          <w:sz w:val="22"/>
          <w:szCs w:val="22"/>
        </w:rPr>
        <w:t>-based transaction</w:t>
      </w:r>
      <w:r w:rsidR="0035621D">
        <w:rPr>
          <w:rFonts w:ascii="Arial" w:hAnsi="Arial" w:cs="Arial"/>
          <w:sz w:val="22"/>
          <w:szCs w:val="22"/>
        </w:rPr>
        <w:t>, the</w:t>
      </w:r>
      <w:r w:rsidR="00A317CC">
        <w:rPr>
          <w:rFonts w:ascii="Arial" w:hAnsi="Arial" w:cs="Arial"/>
          <w:sz w:val="22"/>
          <w:szCs w:val="22"/>
        </w:rPr>
        <w:t xml:space="preserve"> purchaser</w:t>
      </w:r>
      <w:r w:rsidR="0035621D">
        <w:rPr>
          <w:rFonts w:ascii="Arial" w:hAnsi="Arial" w:cs="Arial"/>
          <w:sz w:val="22"/>
          <w:szCs w:val="22"/>
        </w:rPr>
        <w:t xml:space="preserve"> </w:t>
      </w:r>
      <w:r w:rsidR="00242D8A">
        <w:rPr>
          <w:rFonts w:ascii="Arial" w:hAnsi="Arial" w:cs="Arial"/>
          <w:sz w:val="22"/>
          <w:szCs w:val="22"/>
        </w:rPr>
        <w:t xml:space="preserve">cannot choose which assets and liabilities of the </w:t>
      </w:r>
      <w:r w:rsidR="00812B25">
        <w:rPr>
          <w:rFonts w:ascii="Arial" w:hAnsi="Arial" w:cs="Arial"/>
          <w:sz w:val="22"/>
          <w:szCs w:val="22"/>
        </w:rPr>
        <w:t>franchise to</w:t>
      </w:r>
      <w:r w:rsidR="00242D8A">
        <w:rPr>
          <w:rFonts w:ascii="Arial" w:hAnsi="Arial" w:cs="Arial"/>
          <w:sz w:val="22"/>
          <w:szCs w:val="22"/>
        </w:rPr>
        <w:t xml:space="preserve"> </w:t>
      </w:r>
      <w:r w:rsidR="007A09CF">
        <w:rPr>
          <w:rFonts w:ascii="Arial" w:hAnsi="Arial" w:cs="Arial"/>
          <w:sz w:val="22"/>
          <w:szCs w:val="22"/>
        </w:rPr>
        <w:t xml:space="preserve">assume. </w:t>
      </w:r>
      <w:r w:rsidR="00812B25">
        <w:rPr>
          <w:rFonts w:ascii="Arial" w:hAnsi="Arial" w:cs="Arial"/>
          <w:sz w:val="22"/>
          <w:szCs w:val="22"/>
        </w:rPr>
        <w:t xml:space="preserve">As a result, due diligence will </w:t>
      </w:r>
      <w:r w:rsidR="006D614C">
        <w:rPr>
          <w:rFonts w:ascii="Arial" w:hAnsi="Arial" w:cs="Arial"/>
          <w:sz w:val="22"/>
          <w:szCs w:val="22"/>
        </w:rPr>
        <w:t xml:space="preserve">generally </w:t>
      </w:r>
      <w:r w:rsidR="00812B25">
        <w:rPr>
          <w:rFonts w:ascii="Arial" w:hAnsi="Arial" w:cs="Arial"/>
          <w:sz w:val="22"/>
          <w:szCs w:val="22"/>
        </w:rPr>
        <w:t xml:space="preserve">focus on identifying: (i) </w:t>
      </w:r>
      <w:r w:rsidR="0035621D">
        <w:rPr>
          <w:rFonts w:ascii="Arial" w:hAnsi="Arial" w:cs="Arial"/>
          <w:sz w:val="22"/>
          <w:szCs w:val="22"/>
        </w:rPr>
        <w:t xml:space="preserve">the equity </w:t>
      </w:r>
      <w:r w:rsidR="00812B25">
        <w:rPr>
          <w:rFonts w:ascii="Arial" w:hAnsi="Arial" w:cs="Arial"/>
          <w:sz w:val="22"/>
          <w:szCs w:val="22"/>
        </w:rPr>
        <w:t xml:space="preserve">in the shares </w:t>
      </w:r>
      <w:r w:rsidR="0035621D">
        <w:rPr>
          <w:rFonts w:ascii="Arial" w:hAnsi="Arial" w:cs="Arial"/>
          <w:sz w:val="22"/>
          <w:szCs w:val="22"/>
        </w:rPr>
        <w:t>being acquired</w:t>
      </w:r>
      <w:r w:rsidR="00812B25">
        <w:rPr>
          <w:rFonts w:ascii="Arial" w:hAnsi="Arial" w:cs="Arial"/>
          <w:sz w:val="22"/>
          <w:szCs w:val="22"/>
        </w:rPr>
        <w:t>; (ii)</w:t>
      </w:r>
      <w:r w:rsidR="0035621D" w:rsidRPr="0035621D">
        <w:rPr>
          <w:rFonts w:ascii="Arial" w:hAnsi="Arial" w:cs="Arial"/>
          <w:sz w:val="22"/>
          <w:szCs w:val="22"/>
        </w:rPr>
        <w:t xml:space="preserve"> th</w:t>
      </w:r>
      <w:r w:rsidR="00812B25">
        <w:rPr>
          <w:rFonts w:ascii="Arial" w:hAnsi="Arial" w:cs="Arial"/>
          <w:sz w:val="22"/>
          <w:szCs w:val="22"/>
        </w:rPr>
        <w:t>e capitalization of the target; (iii)</w:t>
      </w:r>
      <w:r w:rsidR="0035621D" w:rsidRPr="0035621D">
        <w:rPr>
          <w:rFonts w:ascii="Arial" w:hAnsi="Arial" w:cs="Arial"/>
          <w:sz w:val="22"/>
          <w:szCs w:val="22"/>
        </w:rPr>
        <w:t xml:space="preserve"> whether there are restrict</w:t>
      </w:r>
      <w:r w:rsidR="00812B25">
        <w:rPr>
          <w:rFonts w:ascii="Arial" w:hAnsi="Arial" w:cs="Arial"/>
          <w:sz w:val="22"/>
          <w:szCs w:val="22"/>
        </w:rPr>
        <w:t>ions on transferring the shares; (iv)</w:t>
      </w:r>
      <w:r w:rsidR="0035621D" w:rsidRPr="0035621D">
        <w:rPr>
          <w:rFonts w:ascii="Arial" w:hAnsi="Arial" w:cs="Arial"/>
          <w:sz w:val="22"/>
          <w:szCs w:val="22"/>
        </w:rPr>
        <w:t xml:space="preserve"> whether any third party consents or notifications are required</w:t>
      </w:r>
      <w:r w:rsidR="00812B25">
        <w:rPr>
          <w:rFonts w:ascii="Arial" w:hAnsi="Arial" w:cs="Arial"/>
          <w:sz w:val="22"/>
          <w:szCs w:val="22"/>
        </w:rPr>
        <w:t xml:space="preserve"> to transfer the shares; and (v)</w:t>
      </w:r>
      <w:r w:rsidR="00851CCA">
        <w:rPr>
          <w:rFonts w:ascii="Arial" w:hAnsi="Arial" w:cs="Arial"/>
          <w:sz w:val="22"/>
          <w:szCs w:val="22"/>
        </w:rPr>
        <w:t xml:space="preserve"> the assets and liabilities of the </w:t>
      </w:r>
      <w:r w:rsidR="00812B25">
        <w:rPr>
          <w:rFonts w:ascii="Arial" w:hAnsi="Arial" w:cs="Arial"/>
          <w:sz w:val="22"/>
          <w:szCs w:val="22"/>
        </w:rPr>
        <w:t>corporation being acquired</w:t>
      </w:r>
      <w:r w:rsidR="0035621D" w:rsidRPr="0035621D">
        <w:rPr>
          <w:rFonts w:ascii="Arial" w:hAnsi="Arial" w:cs="Arial"/>
          <w:sz w:val="22"/>
          <w:szCs w:val="22"/>
        </w:rPr>
        <w:t>.</w:t>
      </w:r>
      <w:r w:rsidR="003C08A0">
        <w:rPr>
          <w:rFonts w:ascii="Arial" w:hAnsi="Arial" w:cs="Arial"/>
          <w:sz w:val="22"/>
          <w:szCs w:val="22"/>
        </w:rPr>
        <w:t xml:space="preserve"> </w:t>
      </w:r>
    </w:p>
    <w:p w14:paraId="0488DCCB" w14:textId="77777777" w:rsidR="000F1E49" w:rsidRDefault="000F1E49" w:rsidP="000F1E49">
      <w:pPr>
        <w:pStyle w:val="OHHpara"/>
        <w:spacing w:after="0"/>
        <w:contextualSpacing/>
        <w:rPr>
          <w:rFonts w:ascii="Arial" w:hAnsi="Arial" w:cs="Arial"/>
          <w:sz w:val="22"/>
          <w:szCs w:val="22"/>
        </w:rPr>
      </w:pPr>
    </w:p>
    <w:p w14:paraId="53DAEBDA" w14:textId="6A93B118" w:rsidR="00FA24E1" w:rsidRDefault="00145FEC" w:rsidP="000F1E49">
      <w:pPr>
        <w:pStyle w:val="OHHpara"/>
        <w:spacing w:after="0" w:line="480" w:lineRule="auto"/>
        <w:contextualSpacing/>
        <w:rPr>
          <w:rFonts w:ascii="Arial" w:hAnsi="Arial" w:cs="Arial"/>
          <w:sz w:val="22"/>
          <w:szCs w:val="22"/>
        </w:rPr>
      </w:pPr>
      <w:r>
        <w:rPr>
          <w:rFonts w:ascii="Arial" w:hAnsi="Arial" w:cs="Arial"/>
          <w:sz w:val="22"/>
          <w:szCs w:val="22"/>
        </w:rPr>
        <w:t>In the context of a franchis</w:t>
      </w:r>
      <w:r w:rsidR="0056373A">
        <w:rPr>
          <w:rFonts w:ascii="Arial" w:hAnsi="Arial" w:cs="Arial"/>
          <w:sz w:val="22"/>
          <w:szCs w:val="22"/>
        </w:rPr>
        <w:t>ee resale</w:t>
      </w:r>
      <w:r>
        <w:rPr>
          <w:rFonts w:ascii="Arial" w:hAnsi="Arial" w:cs="Arial"/>
          <w:sz w:val="22"/>
          <w:szCs w:val="22"/>
        </w:rPr>
        <w:t>,</w:t>
      </w:r>
      <w:r w:rsidR="006D614C">
        <w:rPr>
          <w:rFonts w:ascii="Arial" w:hAnsi="Arial" w:cs="Arial"/>
          <w:sz w:val="22"/>
          <w:szCs w:val="22"/>
        </w:rPr>
        <w:t xml:space="preserve"> in addition to the due diligence that would be performed in a general business acquisition,</w:t>
      </w:r>
      <w:r>
        <w:rPr>
          <w:rFonts w:ascii="Arial" w:hAnsi="Arial" w:cs="Arial"/>
          <w:sz w:val="22"/>
          <w:szCs w:val="22"/>
        </w:rPr>
        <w:t xml:space="preserve"> the</w:t>
      </w:r>
      <w:r w:rsidR="00EE3CC8">
        <w:rPr>
          <w:rFonts w:ascii="Arial" w:hAnsi="Arial" w:cs="Arial"/>
          <w:sz w:val="22"/>
          <w:szCs w:val="22"/>
        </w:rPr>
        <w:t xml:space="preserve"> </w:t>
      </w:r>
      <w:r w:rsidR="006D614C">
        <w:rPr>
          <w:rFonts w:ascii="Arial" w:hAnsi="Arial" w:cs="Arial"/>
          <w:sz w:val="22"/>
          <w:szCs w:val="22"/>
        </w:rPr>
        <w:t xml:space="preserve">due diligence will generally include </w:t>
      </w:r>
      <w:r w:rsidR="00B35B70">
        <w:rPr>
          <w:rFonts w:ascii="Arial" w:hAnsi="Arial" w:cs="Arial"/>
          <w:sz w:val="22"/>
          <w:szCs w:val="22"/>
        </w:rPr>
        <w:t xml:space="preserve">franchise-specific </w:t>
      </w:r>
      <w:r w:rsidR="00EE3CC8">
        <w:rPr>
          <w:rFonts w:ascii="Arial" w:hAnsi="Arial" w:cs="Arial"/>
          <w:sz w:val="22"/>
          <w:szCs w:val="22"/>
        </w:rPr>
        <w:t>due diligence</w:t>
      </w:r>
      <w:r w:rsidR="00942F60">
        <w:rPr>
          <w:rFonts w:ascii="Arial" w:hAnsi="Arial" w:cs="Arial"/>
          <w:sz w:val="22"/>
          <w:szCs w:val="22"/>
        </w:rPr>
        <w:t xml:space="preserve"> </w:t>
      </w:r>
      <w:r w:rsidR="006D614C">
        <w:rPr>
          <w:rFonts w:ascii="Arial" w:hAnsi="Arial" w:cs="Arial"/>
          <w:sz w:val="22"/>
          <w:szCs w:val="22"/>
        </w:rPr>
        <w:t>focusing on</w:t>
      </w:r>
      <w:r w:rsidR="00B35B70">
        <w:rPr>
          <w:rFonts w:ascii="Arial" w:hAnsi="Arial" w:cs="Arial"/>
          <w:sz w:val="22"/>
          <w:szCs w:val="22"/>
        </w:rPr>
        <w:t>: (i)</w:t>
      </w:r>
      <w:r>
        <w:rPr>
          <w:rFonts w:ascii="Arial" w:hAnsi="Arial" w:cs="Arial"/>
          <w:sz w:val="22"/>
          <w:szCs w:val="22"/>
        </w:rPr>
        <w:t xml:space="preserve"> </w:t>
      </w:r>
      <w:r w:rsidR="00B35B70">
        <w:rPr>
          <w:rFonts w:ascii="Arial" w:hAnsi="Arial" w:cs="Arial"/>
          <w:sz w:val="22"/>
          <w:szCs w:val="22"/>
        </w:rPr>
        <w:t xml:space="preserve">an understanding of </w:t>
      </w:r>
      <w:r w:rsidR="00863E71">
        <w:rPr>
          <w:rFonts w:ascii="Arial" w:hAnsi="Arial" w:cs="Arial"/>
          <w:sz w:val="22"/>
          <w:szCs w:val="22"/>
        </w:rPr>
        <w:t xml:space="preserve">the </w:t>
      </w:r>
      <w:r w:rsidR="00B35B70">
        <w:rPr>
          <w:rFonts w:ascii="Arial" w:hAnsi="Arial" w:cs="Arial"/>
          <w:sz w:val="22"/>
          <w:szCs w:val="22"/>
        </w:rPr>
        <w:t>franchise business model generally; (ii) how franchising is regulated in Ontario</w:t>
      </w:r>
      <w:r w:rsidR="007B7084">
        <w:rPr>
          <w:rFonts w:ascii="Arial" w:hAnsi="Arial" w:cs="Arial"/>
          <w:sz w:val="22"/>
          <w:szCs w:val="22"/>
        </w:rPr>
        <w:t xml:space="preserve"> and the rights and obligations of the </w:t>
      </w:r>
      <w:r w:rsidR="00505FF5">
        <w:rPr>
          <w:rFonts w:ascii="Arial" w:hAnsi="Arial" w:cs="Arial"/>
          <w:sz w:val="22"/>
          <w:szCs w:val="22"/>
        </w:rPr>
        <w:t>prospective purchaser</w:t>
      </w:r>
      <w:r w:rsidR="000D07D3">
        <w:rPr>
          <w:rFonts w:ascii="Arial" w:hAnsi="Arial" w:cs="Arial"/>
          <w:sz w:val="22"/>
          <w:szCs w:val="22"/>
        </w:rPr>
        <w:t xml:space="preserve"> </w:t>
      </w:r>
      <w:r w:rsidR="007B7084">
        <w:rPr>
          <w:rFonts w:ascii="Arial" w:hAnsi="Arial" w:cs="Arial"/>
          <w:sz w:val="22"/>
          <w:szCs w:val="22"/>
        </w:rPr>
        <w:t>under the Act</w:t>
      </w:r>
      <w:r w:rsidR="00B35B70">
        <w:rPr>
          <w:rFonts w:ascii="Arial" w:hAnsi="Arial" w:cs="Arial"/>
          <w:sz w:val="22"/>
          <w:szCs w:val="22"/>
        </w:rPr>
        <w:t>; (iii) the franchisee-franchisor relationship</w:t>
      </w:r>
      <w:r w:rsidR="00C7629B">
        <w:rPr>
          <w:rFonts w:ascii="Arial" w:hAnsi="Arial" w:cs="Arial"/>
          <w:sz w:val="22"/>
          <w:szCs w:val="22"/>
        </w:rPr>
        <w:t>; (iv) the</w:t>
      </w:r>
      <w:r w:rsidR="00B35B70">
        <w:rPr>
          <w:rFonts w:ascii="Arial" w:hAnsi="Arial" w:cs="Arial"/>
          <w:sz w:val="22"/>
          <w:szCs w:val="22"/>
        </w:rPr>
        <w:t xml:space="preserve"> </w:t>
      </w:r>
      <w:r w:rsidR="00863E71">
        <w:rPr>
          <w:rFonts w:ascii="Arial" w:hAnsi="Arial" w:cs="Arial"/>
          <w:sz w:val="22"/>
          <w:szCs w:val="22"/>
        </w:rPr>
        <w:t>right</w:t>
      </w:r>
      <w:r w:rsidR="00625697">
        <w:rPr>
          <w:rFonts w:ascii="Arial" w:hAnsi="Arial" w:cs="Arial"/>
          <w:sz w:val="22"/>
          <w:szCs w:val="22"/>
        </w:rPr>
        <w:t>s</w:t>
      </w:r>
      <w:r>
        <w:rPr>
          <w:rFonts w:ascii="Arial" w:hAnsi="Arial" w:cs="Arial"/>
          <w:sz w:val="22"/>
          <w:szCs w:val="22"/>
        </w:rPr>
        <w:t xml:space="preserve"> </w:t>
      </w:r>
      <w:r w:rsidR="004A3625">
        <w:rPr>
          <w:rFonts w:ascii="Arial" w:hAnsi="Arial" w:cs="Arial"/>
          <w:sz w:val="22"/>
          <w:szCs w:val="22"/>
        </w:rPr>
        <w:t>and obligations of</w:t>
      </w:r>
      <w:r>
        <w:rPr>
          <w:rFonts w:ascii="Arial" w:hAnsi="Arial" w:cs="Arial"/>
          <w:sz w:val="22"/>
          <w:szCs w:val="22"/>
        </w:rPr>
        <w:t xml:space="preserve"> the </w:t>
      </w:r>
      <w:r w:rsidR="00505FF5">
        <w:rPr>
          <w:rFonts w:ascii="Arial" w:hAnsi="Arial" w:cs="Arial"/>
          <w:sz w:val="22"/>
          <w:szCs w:val="22"/>
        </w:rPr>
        <w:t>prospective purchaser</w:t>
      </w:r>
      <w:r w:rsidR="000D07D3">
        <w:rPr>
          <w:rFonts w:ascii="Arial" w:hAnsi="Arial" w:cs="Arial"/>
          <w:sz w:val="22"/>
          <w:szCs w:val="22"/>
        </w:rPr>
        <w:t xml:space="preserve"> </w:t>
      </w:r>
      <w:r w:rsidR="00C7629B">
        <w:rPr>
          <w:rFonts w:ascii="Arial" w:hAnsi="Arial" w:cs="Arial"/>
          <w:sz w:val="22"/>
          <w:szCs w:val="22"/>
        </w:rPr>
        <w:t xml:space="preserve">under the franchise agreement; (v) the strength of the franchise system; </w:t>
      </w:r>
      <w:r w:rsidR="00B35B70">
        <w:rPr>
          <w:rFonts w:ascii="Arial" w:hAnsi="Arial" w:cs="Arial"/>
          <w:sz w:val="22"/>
          <w:szCs w:val="22"/>
        </w:rPr>
        <w:t xml:space="preserve">and </w:t>
      </w:r>
      <w:r w:rsidR="00C7629B">
        <w:rPr>
          <w:rFonts w:ascii="Arial" w:hAnsi="Arial" w:cs="Arial"/>
          <w:sz w:val="22"/>
          <w:szCs w:val="22"/>
        </w:rPr>
        <w:t xml:space="preserve">(vi) the historical operations of the franchised unit to be acquired. </w:t>
      </w:r>
      <w:r w:rsidR="007B7084">
        <w:rPr>
          <w:rFonts w:ascii="Arial" w:hAnsi="Arial" w:cs="Arial"/>
          <w:sz w:val="22"/>
          <w:szCs w:val="22"/>
        </w:rPr>
        <w:t xml:space="preserve"> </w:t>
      </w:r>
      <w:r w:rsidR="000C12C8">
        <w:rPr>
          <w:rFonts w:ascii="Arial" w:hAnsi="Arial" w:cs="Arial"/>
          <w:sz w:val="22"/>
          <w:szCs w:val="22"/>
        </w:rPr>
        <w:t xml:space="preserve">The disclosure document, </w:t>
      </w:r>
      <w:r w:rsidR="00843616">
        <w:rPr>
          <w:rFonts w:ascii="Arial" w:hAnsi="Arial" w:cs="Arial"/>
          <w:sz w:val="22"/>
          <w:szCs w:val="22"/>
        </w:rPr>
        <w:t>(</w:t>
      </w:r>
      <w:r w:rsidR="000C12C8">
        <w:rPr>
          <w:rFonts w:ascii="Arial" w:hAnsi="Arial" w:cs="Arial"/>
          <w:sz w:val="22"/>
          <w:szCs w:val="22"/>
        </w:rPr>
        <w:t>if required</w:t>
      </w:r>
      <w:r w:rsidR="00843616">
        <w:rPr>
          <w:rFonts w:ascii="Arial" w:hAnsi="Arial" w:cs="Arial"/>
          <w:sz w:val="22"/>
          <w:szCs w:val="22"/>
        </w:rPr>
        <w:t>)</w:t>
      </w:r>
      <w:r w:rsidR="000C12C8">
        <w:rPr>
          <w:rFonts w:ascii="Arial" w:hAnsi="Arial" w:cs="Arial"/>
          <w:sz w:val="22"/>
          <w:szCs w:val="22"/>
        </w:rPr>
        <w:t xml:space="preserve"> </w:t>
      </w:r>
      <w:r w:rsidR="004D03DE">
        <w:rPr>
          <w:rFonts w:ascii="Arial" w:hAnsi="Arial" w:cs="Arial"/>
          <w:sz w:val="22"/>
          <w:szCs w:val="22"/>
        </w:rPr>
        <w:t xml:space="preserve">and the franchise agreement </w:t>
      </w:r>
      <w:r w:rsidR="00843616">
        <w:rPr>
          <w:rFonts w:ascii="Arial" w:hAnsi="Arial" w:cs="Arial"/>
          <w:sz w:val="22"/>
          <w:szCs w:val="22"/>
        </w:rPr>
        <w:t>should</w:t>
      </w:r>
      <w:r w:rsidR="000C12C8">
        <w:rPr>
          <w:rFonts w:ascii="Arial" w:hAnsi="Arial" w:cs="Arial"/>
          <w:sz w:val="22"/>
          <w:szCs w:val="22"/>
        </w:rPr>
        <w:t xml:space="preserve"> be the focus of the </w:t>
      </w:r>
      <w:r w:rsidR="00B35B70">
        <w:rPr>
          <w:rFonts w:ascii="Arial" w:hAnsi="Arial" w:cs="Arial"/>
          <w:sz w:val="22"/>
          <w:szCs w:val="22"/>
        </w:rPr>
        <w:t xml:space="preserve">franchise-specific </w:t>
      </w:r>
      <w:r w:rsidR="000C12C8">
        <w:rPr>
          <w:rFonts w:ascii="Arial" w:hAnsi="Arial" w:cs="Arial"/>
          <w:sz w:val="22"/>
          <w:szCs w:val="22"/>
        </w:rPr>
        <w:t>due diligence process</w:t>
      </w:r>
      <w:r w:rsidR="00B451D1">
        <w:rPr>
          <w:rFonts w:ascii="Arial" w:hAnsi="Arial" w:cs="Arial"/>
          <w:sz w:val="22"/>
          <w:szCs w:val="22"/>
        </w:rPr>
        <w:t>.</w:t>
      </w:r>
      <w:r w:rsidR="000C12C8">
        <w:rPr>
          <w:rFonts w:ascii="Arial" w:hAnsi="Arial" w:cs="Arial"/>
          <w:sz w:val="22"/>
          <w:szCs w:val="22"/>
        </w:rPr>
        <w:t xml:space="preserve"> </w:t>
      </w:r>
      <w:r w:rsidR="00B451D1">
        <w:rPr>
          <w:rFonts w:ascii="Arial" w:hAnsi="Arial" w:cs="Arial"/>
          <w:sz w:val="22"/>
          <w:szCs w:val="22"/>
        </w:rPr>
        <w:t>T</w:t>
      </w:r>
      <w:r w:rsidR="000C12C8">
        <w:rPr>
          <w:rFonts w:ascii="Arial" w:hAnsi="Arial" w:cs="Arial"/>
          <w:sz w:val="22"/>
          <w:szCs w:val="22"/>
        </w:rPr>
        <w:t>he</w:t>
      </w:r>
      <w:r w:rsidR="00B35B70">
        <w:rPr>
          <w:rFonts w:ascii="Arial" w:hAnsi="Arial" w:cs="Arial"/>
          <w:sz w:val="22"/>
          <w:szCs w:val="22"/>
        </w:rPr>
        <w:t>se document</w:t>
      </w:r>
      <w:r w:rsidR="00444DBD">
        <w:rPr>
          <w:rFonts w:ascii="Arial" w:hAnsi="Arial" w:cs="Arial"/>
          <w:sz w:val="22"/>
          <w:szCs w:val="22"/>
        </w:rPr>
        <w:t>s</w:t>
      </w:r>
      <w:r w:rsidR="000C12C8">
        <w:rPr>
          <w:rFonts w:ascii="Arial" w:hAnsi="Arial" w:cs="Arial"/>
          <w:sz w:val="22"/>
          <w:szCs w:val="22"/>
        </w:rPr>
        <w:t xml:space="preserve"> offer insight into the overall health of the franchise system </w:t>
      </w:r>
      <w:r w:rsidR="000C12C8">
        <w:rPr>
          <w:rFonts w:ascii="Arial" w:hAnsi="Arial" w:cs="Arial"/>
          <w:sz w:val="22"/>
          <w:szCs w:val="22"/>
        </w:rPr>
        <w:lastRenderedPageBreak/>
        <w:t xml:space="preserve">and </w:t>
      </w:r>
      <w:r w:rsidR="000C12C8" w:rsidRPr="000C12C8">
        <w:rPr>
          <w:rFonts w:ascii="Arial" w:hAnsi="Arial" w:cs="Arial"/>
          <w:sz w:val="22"/>
          <w:szCs w:val="22"/>
        </w:rPr>
        <w:t>the terms and conditions upon which the purchaser will hold a licence with the franchisor</w:t>
      </w:r>
      <w:r w:rsidR="000C12C8">
        <w:rPr>
          <w:rFonts w:ascii="Arial" w:hAnsi="Arial" w:cs="Arial"/>
          <w:sz w:val="22"/>
          <w:szCs w:val="22"/>
        </w:rPr>
        <w:t>.</w:t>
      </w:r>
      <w:r w:rsidR="000C12C8">
        <w:rPr>
          <w:rStyle w:val="FootnoteReference"/>
          <w:rFonts w:ascii="Arial" w:hAnsi="Arial" w:cs="Arial"/>
          <w:sz w:val="22"/>
          <w:szCs w:val="22"/>
        </w:rPr>
        <w:footnoteReference w:id="23"/>
      </w:r>
      <w:r w:rsidR="000C12C8">
        <w:rPr>
          <w:rFonts w:ascii="Arial" w:hAnsi="Arial" w:cs="Arial"/>
          <w:sz w:val="22"/>
          <w:szCs w:val="22"/>
        </w:rPr>
        <w:t xml:space="preserve"> A</w:t>
      </w:r>
      <w:r w:rsidR="000205A8">
        <w:rPr>
          <w:rFonts w:ascii="Arial" w:hAnsi="Arial" w:cs="Arial"/>
          <w:sz w:val="22"/>
          <w:szCs w:val="22"/>
        </w:rPr>
        <w:t xml:space="preserve"> review of the proposed franchise agreement</w:t>
      </w:r>
      <w:r w:rsidR="000C12C8">
        <w:rPr>
          <w:rFonts w:ascii="Arial" w:hAnsi="Arial" w:cs="Arial"/>
          <w:sz w:val="22"/>
          <w:szCs w:val="22"/>
        </w:rPr>
        <w:t xml:space="preserve"> is </w:t>
      </w:r>
      <w:r w:rsidR="00F16BBB">
        <w:rPr>
          <w:rFonts w:ascii="Arial" w:hAnsi="Arial" w:cs="Arial"/>
          <w:sz w:val="22"/>
          <w:szCs w:val="22"/>
        </w:rPr>
        <w:t>critical to franchise-specific due diligence</w:t>
      </w:r>
      <w:r w:rsidR="000205A8">
        <w:rPr>
          <w:rFonts w:ascii="Arial" w:hAnsi="Arial" w:cs="Arial"/>
          <w:sz w:val="22"/>
          <w:szCs w:val="22"/>
        </w:rPr>
        <w:t xml:space="preserve">, as </w:t>
      </w:r>
      <w:r w:rsidR="00444DBD">
        <w:rPr>
          <w:rFonts w:ascii="Arial" w:hAnsi="Arial" w:cs="Arial"/>
          <w:sz w:val="22"/>
          <w:szCs w:val="22"/>
        </w:rPr>
        <w:t>it</w:t>
      </w:r>
      <w:r w:rsidR="000205A8">
        <w:rPr>
          <w:rFonts w:ascii="Arial" w:hAnsi="Arial" w:cs="Arial"/>
          <w:sz w:val="22"/>
          <w:szCs w:val="22"/>
        </w:rPr>
        <w:t xml:space="preserve"> will govern the </w:t>
      </w:r>
      <w:r w:rsidR="00505FF5">
        <w:rPr>
          <w:rFonts w:ascii="Arial" w:hAnsi="Arial" w:cs="Arial"/>
          <w:sz w:val="22"/>
          <w:szCs w:val="22"/>
        </w:rPr>
        <w:t>prospective purchaser</w:t>
      </w:r>
      <w:r w:rsidR="00147F56">
        <w:rPr>
          <w:rFonts w:ascii="Arial" w:hAnsi="Arial" w:cs="Arial"/>
          <w:sz w:val="22"/>
          <w:szCs w:val="22"/>
        </w:rPr>
        <w:t xml:space="preserve">’s </w:t>
      </w:r>
      <w:r w:rsidR="000205A8">
        <w:rPr>
          <w:rFonts w:ascii="Arial" w:hAnsi="Arial" w:cs="Arial"/>
          <w:sz w:val="22"/>
          <w:szCs w:val="22"/>
        </w:rPr>
        <w:t>ability to op</w:t>
      </w:r>
      <w:r w:rsidR="0047124E">
        <w:rPr>
          <w:rFonts w:ascii="Arial" w:hAnsi="Arial" w:cs="Arial"/>
          <w:sz w:val="22"/>
          <w:szCs w:val="22"/>
        </w:rPr>
        <w:t>erate the franchised business.</w:t>
      </w:r>
      <w:r w:rsidR="00B62C31">
        <w:rPr>
          <w:rStyle w:val="FootnoteReference"/>
          <w:rFonts w:ascii="Arial" w:hAnsi="Arial" w:cs="Arial"/>
          <w:sz w:val="22"/>
          <w:szCs w:val="22"/>
        </w:rPr>
        <w:footnoteReference w:id="24"/>
      </w:r>
      <w:r w:rsidR="0047124E">
        <w:rPr>
          <w:rFonts w:ascii="Arial" w:hAnsi="Arial" w:cs="Arial"/>
          <w:sz w:val="22"/>
          <w:szCs w:val="22"/>
        </w:rPr>
        <w:t xml:space="preserve"> I</w:t>
      </w:r>
      <w:r w:rsidR="000205A8">
        <w:rPr>
          <w:rFonts w:ascii="Arial" w:hAnsi="Arial" w:cs="Arial"/>
          <w:sz w:val="22"/>
          <w:szCs w:val="22"/>
        </w:rPr>
        <w:t xml:space="preserve">f the </w:t>
      </w:r>
      <w:r w:rsidR="00505FF5">
        <w:rPr>
          <w:rFonts w:ascii="Arial" w:hAnsi="Arial" w:cs="Arial"/>
          <w:sz w:val="22"/>
          <w:szCs w:val="22"/>
        </w:rPr>
        <w:t>prospective purchaser</w:t>
      </w:r>
      <w:r w:rsidR="00147F56">
        <w:rPr>
          <w:rFonts w:ascii="Arial" w:hAnsi="Arial" w:cs="Arial"/>
          <w:sz w:val="22"/>
          <w:szCs w:val="22"/>
        </w:rPr>
        <w:t xml:space="preserve"> </w:t>
      </w:r>
      <w:r w:rsidR="000205A8">
        <w:rPr>
          <w:rFonts w:ascii="Arial" w:hAnsi="Arial" w:cs="Arial"/>
          <w:sz w:val="22"/>
          <w:szCs w:val="22"/>
        </w:rPr>
        <w:t xml:space="preserve">is entering into the then-current form of franchise agreement, </w:t>
      </w:r>
      <w:r w:rsidR="00D8086C">
        <w:rPr>
          <w:rFonts w:ascii="Arial" w:hAnsi="Arial" w:cs="Arial"/>
          <w:sz w:val="22"/>
          <w:szCs w:val="22"/>
        </w:rPr>
        <w:t xml:space="preserve">the </w:t>
      </w:r>
      <w:r w:rsidR="00505FF5">
        <w:rPr>
          <w:rFonts w:ascii="Arial" w:hAnsi="Arial" w:cs="Arial"/>
          <w:sz w:val="22"/>
          <w:szCs w:val="22"/>
        </w:rPr>
        <w:t>prospective purchaser</w:t>
      </w:r>
      <w:r w:rsidR="00147F56">
        <w:rPr>
          <w:rFonts w:ascii="Arial" w:hAnsi="Arial" w:cs="Arial"/>
          <w:sz w:val="22"/>
          <w:szCs w:val="22"/>
        </w:rPr>
        <w:t xml:space="preserve"> </w:t>
      </w:r>
      <w:r w:rsidR="00D8086C">
        <w:rPr>
          <w:rFonts w:ascii="Arial" w:hAnsi="Arial" w:cs="Arial"/>
          <w:sz w:val="22"/>
          <w:szCs w:val="22"/>
        </w:rPr>
        <w:t>should consider whether any of the terms have a negative</w:t>
      </w:r>
      <w:r w:rsidR="00D8086C" w:rsidRPr="00D8086C">
        <w:t xml:space="preserve"> </w:t>
      </w:r>
      <w:r w:rsidR="00D8086C" w:rsidRPr="00D8086C">
        <w:rPr>
          <w:rFonts w:ascii="Arial" w:hAnsi="Arial" w:cs="Arial"/>
          <w:sz w:val="22"/>
          <w:szCs w:val="22"/>
        </w:rPr>
        <w:t>impact on</w:t>
      </w:r>
      <w:r w:rsidR="00D8086C">
        <w:rPr>
          <w:rFonts w:ascii="Arial" w:hAnsi="Arial" w:cs="Arial"/>
          <w:sz w:val="22"/>
          <w:szCs w:val="22"/>
        </w:rPr>
        <w:t xml:space="preserve"> </w:t>
      </w:r>
      <w:r w:rsidR="00D8086C" w:rsidRPr="00D8086C">
        <w:rPr>
          <w:rFonts w:ascii="Arial" w:hAnsi="Arial" w:cs="Arial"/>
          <w:sz w:val="22"/>
          <w:szCs w:val="22"/>
        </w:rPr>
        <w:t>operating the franchi</w:t>
      </w:r>
      <w:r w:rsidR="0047124E">
        <w:rPr>
          <w:rFonts w:ascii="Arial" w:hAnsi="Arial" w:cs="Arial"/>
          <w:sz w:val="22"/>
          <w:szCs w:val="22"/>
        </w:rPr>
        <w:t xml:space="preserve">sed business post-closing, such as </w:t>
      </w:r>
      <w:r w:rsidR="00E602DD">
        <w:rPr>
          <w:rFonts w:ascii="Arial" w:hAnsi="Arial" w:cs="Arial"/>
          <w:sz w:val="22"/>
          <w:szCs w:val="22"/>
        </w:rPr>
        <w:t xml:space="preserve">any </w:t>
      </w:r>
      <w:r w:rsidR="00D8086C" w:rsidRPr="00D8086C">
        <w:rPr>
          <w:rFonts w:ascii="Arial" w:hAnsi="Arial" w:cs="Arial"/>
          <w:sz w:val="22"/>
          <w:szCs w:val="22"/>
        </w:rPr>
        <w:t xml:space="preserve">increases of fees and payments, limited renewal rights, </w:t>
      </w:r>
      <w:r w:rsidR="00147F56">
        <w:rPr>
          <w:rFonts w:ascii="Arial" w:hAnsi="Arial" w:cs="Arial"/>
          <w:sz w:val="22"/>
          <w:szCs w:val="22"/>
        </w:rPr>
        <w:t>or termination</w:t>
      </w:r>
      <w:r w:rsidR="00D8086C" w:rsidRPr="00D8086C">
        <w:rPr>
          <w:rFonts w:ascii="Arial" w:hAnsi="Arial" w:cs="Arial"/>
          <w:sz w:val="22"/>
          <w:szCs w:val="22"/>
        </w:rPr>
        <w:t xml:space="preserve">, </w:t>
      </w:r>
      <w:r w:rsidR="00597882">
        <w:rPr>
          <w:rFonts w:ascii="Arial" w:hAnsi="Arial" w:cs="Arial"/>
          <w:sz w:val="22"/>
          <w:szCs w:val="22"/>
        </w:rPr>
        <w:t xml:space="preserve">and any </w:t>
      </w:r>
      <w:r w:rsidR="00D8086C" w:rsidRPr="00D8086C">
        <w:rPr>
          <w:rFonts w:ascii="Arial" w:hAnsi="Arial" w:cs="Arial"/>
          <w:sz w:val="22"/>
          <w:szCs w:val="22"/>
        </w:rPr>
        <w:t xml:space="preserve">restrictive non-competition </w:t>
      </w:r>
      <w:r w:rsidR="00597882">
        <w:rPr>
          <w:rFonts w:ascii="Arial" w:hAnsi="Arial" w:cs="Arial"/>
          <w:sz w:val="22"/>
          <w:szCs w:val="22"/>
        </w:rPr>
        <w:t xml:space="preserve">or </w:t>
      </w:r>
      <w:r w:rsidR="00D8086C" w:rsidRPr="00D8086C">
        <w:rPr>
          <w:rFonts w:ascii="Arial" w:hAnsi="Arial" w:cs="Arial"/>
          <w:sz w:val="22"/>
          <w:szCs w:val="22"/>
        </w:rPr>
        <w:t>non-solicitation provision</w:t>
      </w:r>
      <w:r w:rsidR="00597882">
        <w:rPr>
          <w:rFonts w:ascii="Arial" w:hAnsi="Arial" w:cs="Arial"/>
          <w:sz w:val="22"/>
          <w:szCs w:val="22"/>
        </w:rPr>
        <w:t>s</w:t>
      </w:r>
      <w:r w:rsidR="00D8086C" w:rsidRPr="00D8086C">
        <w:rPr>
          <w:rFonts w:ascii="Arial" w:hAnsi="Arial" w:cs="Arial"/>
          <w:sz w:val="22"/>
          <w:szCs w:val="22"/>
        </w:rPr>
        <w:t>.</w:t>
      </w:r>
      <w:r w:rsidR="00623ABF">
        <w:rPr>
          <w:rStyle w:val="FootnoteReference"/>
          <w:rFonts w:ascii="Arial" w:hAnsi="Arial" w:cs="Arial"/>
          <w:sz w:val="22"/>
          <w:szCs w:val="22"/>
        </w:rPr>
        <w:footnoteReference w:id="25"/>
      </w:r>
      <w:r w:rsidR="00D8086C" w:rsidRPr="00D8086C">
        <w:rPr>
          <w:rFonts w:ascii="Arial" w:hAnsi="Arial" w:cs="Arial"/>
          <w:sz w:val="22"/>
          <w:szCs w:val="22"/>
        </w:rPr>
        <w:t xml:space="preserve"> </w:t>
      </w:r>
      <w:r w:rsidR="0047124E">
        <w:rPr>
          <w:rFonts w:ascii="Arial" w:hAnsi="Arial" w:cs="Arial"/>
          <w:sz w:val="22"/>
          <w:szCs w:val="22"/>
        </w:rPr>
        <w:t>If the transaction involves the assignment of</w:t>
      </w:r>
      <w:r w:rsidR="00597882">
        <w:rPr>
          <w:rFonts w:ascii="Arial" w:hAnsi="Arial" w:cs="Arial"/>
          <w:sz w:val="22"/>
          <w:szCs w:val="22"/>
        </w:rPr>
        <w:t xml:space="preserve"> the</w:t>
      </w:r>
      <w:r w:rsidR="0047124E">
        <w:rPr>
          <w:rFonts w:ascii="Arial" w:hAnsi="Arial" w:cs="Arial"/>
          <w:sz w:val="22"/>
          <w:szCs w:val="22"/>
        </w:rPr>
        <w:t xml:space="preserve"> existing franchise agreement, the </w:t>
      </w:r>
      <w:r w:rsidR="00505FF5">
        <w:rPr>
          <w:rFonts w:ascii="Arial" w:hAnsi="Arial" w:cs="Arial"/>
          <w:sz w:val="22"/>
          <w:szCs w:val="22"/>
        </w:rPr>
        <w:t>prospective purchaser</w:t>
      </w:r>
      <w:r w:rsidR="00147F56">
        <w:rPr>
          <w:rFonts w:ascii="Arial" w:hAnsi="Arial" w:cs="Arial"/>
          <w:sz w:val="22"/>
          <w:szCs w:val="22"/>
        </w:rPr>
        <w:t xml:space="preserve"> </w:t>
      </w:r>
      <w:r w:rsidR="0047124E">
        <w:rPr>
          <w:rFonts w:ascii="Arial" w:hAnsi="Arial" w:cs="Arial"/>
          <w:sz w:val="22"/>
          <w:szCs w:val="22"/>
        </w:rPr>
        <w:t xml:space="preserve">should ensure that the </w:t>
      </w:r>
      <w:r w:rsidR="00E5148C">
        <w:rPr>
          <w:rFonts w:ascii="Arial" w:hAnsi="Arial" w:cs="Arial"/>
          <w:sz w:val="22"/>
          <w:szCs w:val="22"/>
        </w:rPr>
        <w:t>remaining</w:t>
      </w:r>
      <w:r w:rsidR="0047124E" w:rsidRPr="0047124E">
        <w:rPr>
          <w:rFonts w:ascii="Arial" w:hAnsi="Arial" w:cs="Arial"/>
          <w:sz w:val="22"/>
          <w:szCs w:val="22"/>
        </w:rPr>
        <w:t xml:space="preserve"> term and any renewal rights are sufficiently long to recoup</w:t>
      </w:r>
      <w:r w:rsidR="004A3625">
        <w:rPr>
          <w:rFonts w:ascii="Arial" w:hAnsi="Arial" w:cs="Arial"/>
          <w:sz w:val="22"/>
          <w:szCs w:val="22"/>
        </w:rPr>
        <w:t xml:space="preserve"> its</w:t>
      </w:r>
      <w:r w:rsidR="0047124E" w:rsidRPr="0047124E">
        <w:rPr>
          <w:rFonts w:ascii="Arial" w:hAnsi="Arial" w:cs="Arial"/>
          <w:sz w:val="22"/>
          <w:szCs w:val="22"/>
        </w:rPr>
        <w:t xml:space="preserve"> investment in the franchise</w:t>
      </w:r>
      <w:r w:rsidR="00FA24E1">
        <w:rPr>
          <w:rFonts w:ascii="Arial" w:hAnsi="Arial" w:cs="Arial"/>
          <w:sz w:val="22"/>
          <w:szCs w:val="22"/>
        </w:rPr>
        <w:t>.</w:t>
      </w:r>
      <w:r w:rsidR="00FA24E1">
        <w:rPr>
          <w:rStyle w:val="FootnoteReference"/>
          <w:rFonts w:ascii="Arial" w:hAnsi="Arial" w:cs="Arial"/>
          <w:sz w:val="22"/>
          <w:szCs w:val="22"/>
        </w:rPr>
        <w:footnoteReference w:id="26"/>
      </w:r>
      <w:r w:rsidR="00FA24E1">
        <w:rPr>
          <w:rFonts w:ascii="Arial" w:hAnsi="Arial" w:cs="Arial"/>
          <w:sz w:val="22"/>
          <w:szCs w:val="22"/>
        </w:rPr>
        <w:t xml:space="preserve"> </w:t>
      </w:r>
    </w:p>
    <w:p w14:paraId="68C2762F" w14:textId="77777777" w:rsidR="00357973" w:rsidRDefault="00357973" w:rsidP="00250784">
      <w:pPr>
        <w:pStyle w:val="OHHpara"/>
        <w:spacing w:after="0"/>
        <w:ind w:firstLine="720"/>
        <w:contextualSpacing/>
        <w:rPr>
          <w:rFonts w:ascii="Arial" w:hAnsi="Arial" w:cs="Arial"/>
          <w:sz w:val="22"/>
          <w:szCs w:val="22"/>
        </w:rPr>
      </w:pPr>
    </w:p>
    <w:p w14:paraId="1F818AC6" w14:textId="5E198CBB" w:rsidR="00B03B59" w:rsidRDefault="00BF0BF0" w:rsidP="004A3625">
      <w:pPr>
        <w:pStyle w:val="OHHpara"/>
        <w:spacing w:after="0"/>
        <w:contextualSpacing/>
        <w:rPr>
          <w:rFonts w:ascii="Arial" w:hAnsi="Arial" w:cs="Arial"/>
          <w:b/>
          <w:caps/>
          <w:sz w:val="22"/>
          <w:szCs w:val="22"/>
        </w:rPr>
      </w:pPr>
      <w:r>
        <w:rPr>
          <w:rFonts w:ascii="Arial" w:hAnsi="Arial" w:cs="Arial"/>
          <w:sz w:val="22"/>
          <w:szCs w:val="22"/>
        </w:rPr>
        <w:tab/>
      </w:r>
      <w:r w:rsidR="009A39DD">
        <w:rPr>
          <w:rFonts w:ascii="Arial" w:hAnsi="Arial" w:cs="Arial"/>
          <w:b/>
          <w:caps/>
          <w:sz w:val="22"/>
          <w:szCs w:val="22"/>
        </w:rPr>
        <w:t>6</w:t>
      </w:r>
      <w:r w:rsidR="0037317D">
        <w:rPr>
          <w:rFonts w:ascii="Arial" w:hAnsi="Arial" w:cs="Arial"/>
          <w:b/>
          <w:caps/>
          <w:sz w:val="22"/>
          <w:szCs w:val="22"/>
        </w:rPr>
        <w:t xml:space="preserve">. </w:t>
      </w:r>
      <w:r w:rsidR="0037317D">
        <w:rPr>
          <w:rFonts w:ascii="Arial" w:hAnsi="Arial" w:cs="Arial"/>
          <w:b/>
          <w:caps/>
          <w:sz w:val="22"/>
          <w:szCs w:val="22"/>
        </w:rPr>
        <w:tab/>
      </w:r>
      <w:r w:rsidR="00B03B59" w:rsidRPr="00014C1C">
        <w:rPr>
          <w:rFonts w:ascii="Arial" w:hAnsi="Arial" w:cs="Arial"/>
          <w:b/>
          <w:caps/>
          <w:sz w:val="22"/>
          <w:szCs w:val="22"/>
        </w:rPr>
        <w:t xml:space="preserve">Unique Franchise Considerations when Drafting the Purchase </w:t>
      </w:r>
      <w:r w:rsidR="004A3625">
        <w:rPr>
          <w:rFonts w:ascii="Arial" w:hAnsi="Arial" w:cs="Arial"/>
          <w:b/>
          <w:caps/>
          <w:sz w:val="22"/>
          <w:szCs w:val="22"/>
        </w:rPr>
        <w:tab/>
      </w:r>
      <w:r w:rsidR="004A3625">
        <w:rPr>
          <w:rFonts w:ascii="Arial" w:hAnsi="Arial" w:cs="Arial"/>
          <w:b/>
          <w:caps/>
          <w:sz w:val="22"/>
          <w:szCs w:val="22"/>
        </w:rPr>
        <w:tab/>
      </w:r>
      <w:r w:rsidR="00B03B59" w:rsidRPr="00014C1C">
        <w:rPr>
          <w:rFonts w:ascii="Arial" w:hAnsi="Arial" w:cs="Arial"/>
          <w:b/>
          <w:caps/>
          <w:sz w:val="22"/>
          <w:szCs w:val="22"/>
        </w:rPr>
        <w:t>Agreement</w:t>
      </w:r>
      <w:r w:rsidR="00192459">
        <w:rPr>
          <w:rStyle w:val="FootnoteReference"/>
          <w:rFonts w:ascii="Arial" w:hAnsi="Arial" w:cs="Arial"/>
          <w:b/>
          <w:caps/>
          <w:sz w:val="22"/>
          <w:szCs w:val="22"/>
        </w:rPr>
        <w:footnoteReference w:id="27"/>
      </w:r>
      <w:r w:rsidR="00B03B59" w:rsidRPr="00014C1C">
        <w:rPr>
          <w:rFonts w:ascii="Arial" w:hAnsi="Arial" w:cs="Arial"/>
          <w:b/>
          <w:caps/>
          <w:sz w:val="22"/>
          <w:szCs w:val="22"/>
        </w:rPr>
        <w:t xml:space="preserve">  </w:t>
      </w:r>
    </w:p>
    <w:p w14:paraId="073CEB01" w14:textId="77777777" w:rsidR="00357973" w:rsidRPr="00014C1C" w:rsidRDefault="00357973" w:rsidP="0037317D">
      <w:pPr>
        <w:pStyle w:val="OHHpara"/>
        <w:spacing w:after="0" w:line="480" w:lineRule="auto"/>
        <w:contextualSpacing/>
        <w:rPr>
          <w:rFonts w:ascii="Arial" w:hAnsi="Arial" w:cs="Arial"/>
          <w:b/>
          <w:caps/>
          <w:sz w:val="22"/>
          <w:szCs w:val="22"/>
        </w:rPr>
      </w:pPr>
    </w:p>
    <w:p w14:paraId="2E3EB735" w14:textId="49E461D9" w:rsidR="0085019D" w:rsidRDefault="00722AB4" w:rsidP="004A3114">
      <w:pPr>
        <w:pStyle w:val="OHHpara"/>
        <w:spacing w:after="0" w:line="480" w:lineRule="auto"/>
        <w:contextualSpacing/>
        <w:rPr>
          <w:rFonts w:ascii="Arial" w:hAnsi="Arial" w:cs="Arial"/>
          <w:sz w:val="22"/>
          <w:szCs w:val="22"/>
        </w:rPr>
      </w:pPr>
      <w:r>
        <w:rPr>
          <w:rFonts w:ascii="Arial" w:hAnsi="Arial" w:cs="Arial"/>
          <w:sz w:val="22"/>
          <w:szCs w:val="22"/>
        </w:rPr>
        <w:t>Many of the</w:t>
      </w:r>
      <w:r w:rsidR="00A66DDD" w:rsidRPr="008A32D7">
        <w:rPr>
          <w:rFonts w:ascii="Arial" w:hAnsi="Arial" w:cs="Arial"/>
          <w:sz w:val="22"/>
          <w:szCs w:val="22"/>
        </w:rPr>
        <w:t xml:space="preserve"> </w:t>
      </w:r>
      <w:r w:rsidR="00A66DDD">
        <w:rPr>
          <w:rFonts w:ascii="Arial" w:hAnsi="Arial" w:cs="Arial"/>
          <w:sz w:val="22"/>
          <w:szCs w:val="22"/>
        </w:rPr>
        <w:t>considerations</w:t>
      </w:r>
      <w:r w:rsidR="00A66DDD" w:rsidRPr="008A32D7">
        <w:rPr>
          <w:rFonts w:ascii="Arial" w:hAnsi="Arial" w:cs="Arial"/>
          <w:sz w:val="22"/>
          <w:szCs w:val="22"/>
        </w:rPr>
        <w:t xml:space="preserve"> </w:t>
      </w:r>
      <w:r w:rsidR="00A66DDD">
        <w:rPr>
          <w:rFonts w:ascii="Arial" w:hAnsi="Arial" w:cs="Arial"/>
          <w:sz w:val="22"/>
          <w:szCs w:val="22"/>
        </w:rPr>
        <w:t xml:space="preserve">that </w:t>
      </w:r>
      <w:r w:rsidR="00A66DDD" w:rsidRPr="008A32D7">
        <w:rPr>
          <w:rFonts w:ascii="Arial" w:hAnsi="Arial" w:cs="Arial"/>
          <w:sz w:val="22"/>
          <w:szCs w:val="22"/>
        </w:rPr>
        <w:t>apply</w:t>
      </w:r>
      <w:r w:rsidR="00A66DDD">
        <w:rPr>
          <w:rFonts w:ascii="Arial" w:hAnsi="Arial" w:cs="Arial"/>
          <w:sz w:val="22"/>
          <w:szCs w:val="22"/>
        </w:rPr>
        <w:t xml:space="preserve"> when drafting a purchase agreement for a general business acquisition also apply </w:t>
      </w:r>
      <w:r w:rsidR="0056373A">
        <w:rPr>
          <w:rFonts w:ascii="Arial" w:hAnsi="Arial" w:cs="Arial"/>
          <w:sz w:val="22"/>
          <w:szCs w:val="22"/>
        </w:rPr>
        <w:t>in the context of a franchisee resale</w:t>
      </w:r>
      <w:r w:rsidR="00A66DDD">
        <w:rPr>
          <w:rFonts w:ascii="Arial" w:hAnsi="Arial" w:cs="Arial"/>
          <w:sz w:val="22"/>
          <w:szCs w:val="22"/>
        </w:rPr>
        <w:t xml:space="preserve">. </w:t>
      </w:r>
      <w:r w:rsidR="00FE410E">
        <w:rPr>
          <w:rFonts w:ascii="Arial" w:hAnsi="Arial" w:cs="Arial"/>
          <w:sz w:val="22"/>
          <w:szCs w:val="22"/>
        </w:rPr>
        <w:t xml:space="preserve"> </w:t>
      </w:r>
      <w:r w:rsidR="00192459">
        <w:rPr>
          <w:rFonts w:ascii="Arial" w:hAnsi="Arial" w:cs="Arial"/>
          <w:sz w:val="22"/>
          <w:szCs w:val="22"/>
        </w:rPr>
        <w:t xml:space="preserve">  </w:t>
      </w:r>
      <w:r w:rsidR="00FE410E">
        <w:rPr>
          <w:rFonts w:ascii="Arial" w:hAnsi="Arial" w:cs="Arial"/>
          <w:sz w:val="22"/>
          <w:szCs w:val="22"/>
        </w:rPr>
        <w:t>The key considerations for purchase agreement</w:t>
      </w:r>
      <w:r>
        <w:rPr>
          <w:rFonts w:ascii="Arial" w:hAnsi="Arial" w:cs="Arial"/>
          <w:sz w:val="22"/>
          <w:szCs w:val="22"/>
        </w:rPr>
        <w:t>s</w:t>
      </w:r>
      <w:r w:rsidR="00FE410E">
        <w:rPr>
          <w:rFonts w:ascii="Arial" w:hAnsi="Arial" w:cs="Arial"/>
          <w:sz w:val="22"/>
          <w:szCs w:val="22"/>
        </w:rPr>
        <w:t xml:space="preserve"> are the same</w:t>
      </w:r>
      <w:r>
        <w:rPr>
          <w:rFonts w:ascii="Arial" w:hAnsi="Arial" w:cs="Arial"/>
          <w:sz w:val="22"/>
          <w:szCs w:val="22"/>
        </w:rPr>
        <w:t xml:space="preserve">, </w:t>
      </w:r>
      <w:r w:rsidR="008B480D">
        <w:rPr>
          <w:rFonts w:ascii="Arial" w:hAnsi="Arial" w:cs="Arial"/>
          <w:sz w:val="22"/>
          <w:szCs w:val="22"/>
        </w:rPr>
        <w:t>namely properly</w:t>
      </w:r>
      <w:r w:rsidR="008D7FA9">
        <w:rPr>
          <w:rFonts w:ascii="Arial" w:hAnsi="Arial" w:cs="Arial"/>
          <w:sz w:val="22"/>
          <w:szCs w:val="22"/>
        </w:rPr>
        <w:t xml:space="preserve"> identifying the parties, clearly identifying the purchased and e</w:t>
      </w:r>
      <w:r w:rsidR="00192459">
        <w:rPr>
          <w:rFonts w:ascii="Arial" w:hAnsi="Arial" w:cs="Arial"/>
          <w:sz w:val="22"/>
          <w:szCs w:val="22"/>
        </w:rPr>
        <w:t xml:space="preserve">xcluded assets, </w:t>
      </w:r>
      <w:r w:rsidR="00F70016">
        <w:rPr>
          <w:rFonts w:ascii="Arial" w:hAnsi="Arial" w:cs="Arial"/>
          <w:sz w:val="22"/>
          <w:szCs w:val="22"/>
        </w:rPr>
        <w:t xml:space="preserve">ensuring that the assets are properly conveyed, </w:t>
      </w:r>
      <w:r w:rsidR="00192459">
        <w:rPr>
          <w:rFonts w:ascii="Arial" w:hAnsi="Arial" w:cs="Arial"/>
          <w:sz w:val="22"/>
          <w:szCs w:val="22"/>
        </w:rPr>
        <w:t>setting out the purchase price</w:t>
      </w:r>
      <w:r w:rsidR="00F70016">
        <w:rPr>
          <w:rFonts w:ascii="Arial" w:hAnsi="Arial" w:cs="Arial"/>
          <w:sz w:val="22"/>
          <w:szCs w:val="22"/>
        </w:rPr>
        <w:t>, any mechanisms for adjustment</w:t>
      </w:r>
      <w:r w:rsidR="00192459">
        <w:rPr>
          <w:rFonts w:ascii="Arial" w:hAnsi="Arial" w:cs="Arial"/>
          <w:sz w:val="22"/>
          <w:szCs w:val="22"/>
        </w:rPr>
        <w:t xml:space="preserve"> and timing of payment, </w:t>
      </w:r>
      <w:r w:rsidR="00F70016">
        <w:rPr>
          <w:rFonts w:ascii="Arial" w:hAnsi="Arial" w:cs="Arial"/>
          <w:sz w:val="22"/>
          <w:szCs w:val="22"/>
        </w:rPr>
        <w:t xml:space="preserve">establishing a closing </w:t>
      </w:r>
      <w:r w:rsidR="00F70016">
        <w:rPr>
          <w:rFonts w:ascii="Arial" w:hAnsi="Arial" w:cs="Arial"/>
          <w:sz w:val="22"/>
          <w:szCs w:val="22"/>
        </w:rPr>
        <w:lastRenderedPageBreak/>
        <w:t xml:space="preserve">date, and </w:t>
      </w:r>
      <w:r w:rsidR="00192459">
        <w:rPr>
          <w:rFonts w:ascii="Arial" w:hAnsi="Arial" w:cs="Arial"/>
          <w:sz w:val="22"/>
          <w:szCs w:val="22"/>
        </w:rPr>
        <w:t>including any necessary representations</w:t>
      </w:r>
      <w:r w:rsidR="00F70016">
        <w:rPr>
          <w:rFonts w:ascii="Arial" w:hAnsi="Arial" w:cs="Arial"/>
          <w:sz w:val="22"/>
          <w:szCs w:val="22"/>
        </w:rPr>
        <w:t>,</w:t>
      </w:r>
      <w:r w:rsidR="00192459">
        <w:rPr>
          <w:rFonts w:ascii="Arial" w:hAnsi="Arial" w:cs="Arial"/>
          <w:sz w:val="22"/>
          <w:szCs w:val="22"/>
        </w:rPr>
        <w:t xml:space="preserve"> warranties</w:t>
      </w:r>
      <w:r w:rsidR="00F70016">
        <w:rPr>
          <w:rFonts w:ascii="Arial" w:hAnsi="Arial" w:cs="Arial"/>
          <w:sz w:val="22"/>
          <w:szCs w:val="22"/>
        </w:rPr>
        <w:t>, covenants and conditions for closing.</w:t>
      </w:r>
      <w:r w:rsidR="004A3114">
        <w:rPr>
          <w:rFonts w:ascii="Arial" w:hAnsi="Arial" w:cs="Arial"/>
          <w:sz w:val="22"/>
          <w:szCs w:val="22"/>
        </w:rPr>
        <w:t xml:space="preserve">  </w:t>
      </w:r>
      <w:r w:rsidR="0085019D">
        <w:rPr>
          <w:rFonts w:ascii="Arial" w:hAnsi="Arial" w:cs="Arial"/>
          <w:sz w:val="22"/>
          <w:szCs w:val="22"/>
        </w:rPr>
        <w:t>In the con</w:t>
      </w:r>
      <w:r w:rsidR="004A3114">
        <w:rPr>
          <w:rFonts w:ascii="Arial" w:hAnsi="Arial" w:cs="Arial"/>
          <w:sz w:val="22"/>
          <w:szCs w:val="22"/>
        </w:rPr>
        <w:t>text of a franchisee resale, in addition to the terms that would be included in the purchase agreement for a general business acquisition,</w:t>
      </w:r>
      <w:r w:rsidR="0085019D">
        <w:rPr>
          <w:rFonts w:ascii="Arial" w:hAnsi="Arial" w:cs="Arial"/>
          <w:sz w:val="22"/>
          <w:szCs w:val="22"/>
        </w:rPr>
        <w:t xml:space="preserve"> </w:t>
      </w:r>
      <w:r w:rsidR="004A3114">
        <w:rPr>
          <w:rFonts w:ascii="Arial" w:hAnsi="Arial" w:cs="Arial"/>
          <w:sz w:val="22"/>
          <w:szCs w:val="22"/>
        </w:rPr>
        <w:t xml:space="preserve">the purchase agreement will </w:t>
      </w:r>
      <w:r w:rsidR="003F5A26">
        <w:rPr>
          <w:rFonts w:ascii="Arial" w:hAnsi="Arial" w:cs="Arial"/>
          <w:sz w:val="22"/>
          <w:szCs w:val="22"/>
        </w:rPr>
        <w:t xml:space="preserve">generally </w:t>
      </w:r>
      <w:r w:rsidR="004A3114">
        <w:rPr>
          <w:rFonts w:ascii="Arial" w:hAnsi="Arial" w:cs="Arial"/>
          <w:sz w:val="22"/>
          <w:szCs w:val="22"/>
        </w:rPr>
        <w:t>be reviewed for the following franchise-specific issues:</w:t>
      </w:r>
      <w:r w:rsidR="0085019D">
        <w:rPr>
          <w:rFonts w:ascii="Arial" w:hAnsi="Arial" w:cs="Arial"/>
          <w:sz w:val="22"/>
          <w:szCs w:val="22"/>
        </w:rPr>
        <w:t xml:space="preserve"> </w:t>
      </w:r>
      <w:r w:rsidR="008847A1">
        <w:rPr>
          <w:rFonts w:ascii="Arial" w:hAnsi="Arial" w:cs="Arial"/>
          <w:sz w:val="22"/>
          <w:szCs w:val="22"/>
        </w:rPr>
        <w:t>(i)</w:t>
      </w:r>
      <w:r w:rsidR="0085019D">
        <w:rPr>
          <w:rFonts w:ascii="Arial" w:hAnsi="Arial" w:cs="Arial"/>
          <w:sz w:val="22"/>
          <w:szCs w:val="22"/>
        </w:rPr>
        <w:t xml:space="preserve"> the name of the vendor is the same as the na</w:t>
      </w:r>
      <w:r w:rsidR="008847A1">
        <w:rPr>
          <w:rFonts w:ascii="Arial" w:hAnsi="Arial" w:cs="Arial"/>
          <w:sz w:val="22"/>
          <w:szCs w:val="22"/>
        </w:rPr>
        <w:t xml:space="preserve">me of the franchisee; (ii) </w:t>
      </w:r>
      <w:r w:rsidR="0085019D">
        <w:rPr>
          <w:rFonts w:ascii="Arial" w:hAnsi="Arial" w:cs="Arial"/>
          <w:sz w:val="22"/>
          <w:szCs w:val="22"/>
        </w:rPr>
        <w:t xml:space="preserve">the assets to be purchased include all of the assets that the </w:t>
      </w:r>
      <w:r w:rsidR="003F5A26">
        <w:rPr>
          <w:rFonts w:ascii="Arial" w:hAnsi="Arial" w:cs="Arial"/>
          <w:sz w:val="22"/>
          <w:szCs w:val="22"/>
        </w:rPr>
        <w:t xml:space="preserve">prospective </w:t>
      </w:r>
      <w:r w:rsidR="0085019D">
        <w:rPr>
          <w:rFonts w:ascii="Arial" w:hAnsi="Arial" w:cs="Arial"/>
          <w:sz w:val="22"/>
          <w:szCs w:val="22"/>
        </w:rPr>
        <w:t>purchaser will need to operate the franchised business post-closing</w:t>
      </w:r>
      <w:r w:rsidR="0005310C">
        <w:rPr>
          <w:rFonts w:ascii="Arial" w:hAnsi="Arial" w:cs="Arial"/>
          <w:sz w:val="22"/>
          <w:szCs w:val="22"/>
        </w:rPr>
        <w:t xml:space="preserve">, including the franchise agreement, any lease agreements, </w:t>
      </w:r>
      <w:r w:rsidR="006C4FF3">
        <w:rPr>
          <w:rFonts w:ascii="Arial" w:hAnsi="Arial" w:cs="Arial"/>
          <w:sz w:val="22"/>
          <w:szCs w:val="22"/>
        </w:rPr>
        <w:t xml:space="preserve">and </w:t>
      </w:r>
      <w:r w:rsidR="0005310C">
        <w:rPr>
          <w:rFonts w:ascii="Arial" w:hAnsi="Arial" w:cs="Arial"/>
          <w:sz w:val="22"/>
          <w:szCs w:val="22"/>
        </w:rPr>
        <w:t>service agreements</w:t>
      </w:r>
      <w:r w:rsidR="008847A1">
        <w:rPr>
          <w:rFonts w:ascii="Arial" w:hAnsi="Arial" w:cs="Arial"/>
          <w:sz w:val="22"/>
          <w:szCs w:val="22"/>
        </w:rPr>
        <w:t xml:space="preserve">; (iii) </w:t>
      </w:r>
      <w:r w:rsidR="003D0CA6">
        <w:rPr>
          <w:rFonts w:ascii="Arial" w:hAnsi="Arial" w:cs="Arial"/>
          <w:sz w:val="22"/>
          <w:szCs w:val="22"/>
        </w:rPr>
        <w:t>the assets to be purchased do not include any assets owned by the franchisor</w:t>
      </w:r>
      <w:r w:rsidR="008847A1">
        <w:rPr>
          <w:rFonts w:ascii="Arial" w:hAnsi="Arial" w:cs="Arial"/>
          <w:sz w:val="22"/>
          <w:szCs w:val="22"/>
        </w:rPr>
        <w:t>; (iv)</w:t>
      </w:r>
      <w:r w:rsidR="003D0CA6">
        <w:rPr>
          <w:rFonts w:ascii="Arial" w:hAnsi="Arial" w:cs="Arial"/>
          <w:sz w:val="22"/>
          <w:szCs w:val="22"/>
        </w:rPr>
        <w:t xml:space="preserve"> </w:t>
      </w:r>
      <w:r w:rsidR="008847A1">
        <w:rPr>
          <w:rFonts w:ascii="Arial" w:hAnsi="Arial" w:cs="Arial"/>
          <w:sz w:val="22"/>
          <w:szCs w:val="22"/>
        </w:rPr>
        <w:t xml:space="preserve">the assets to be purchased are properly conveyed, including the discharge of any encumbrances; (v) </w:t>
      </w:r>
      <w:r w:rsidR="003D0CA6">
        <w:rPr>
          <w:rFonts w:ascii="Arial" w:hAnsi="Arial" w:cs="Arial"/>
          <w:sz w:val="22"/>
          <w:szCs w:val="22"/>
        </w:rPr>
        <w:t>the franchisor’s consent is a condition precedent to the closing of the transaction</w:t>
      </w:r>
      <w:r w:rsidR="008847A1">
        <w:rPr>
          <w:rFonts w:ascii="Arial" w:hAnsi="Arial" w:cs="Arial"/>
          <w:sz w:val="22"/>
          <w:szCs w:val="22"/>
        </w:rPr>
        <w:t>; and (vi)</w:t>
      </w:r>
      <w:r w:rsidR="003D0CA6">
        <w:rPr>
          <w:rFonts w:ascii="Arial" w:hAnsi="Arial" w:cs="Arial"/>
          <w:sz w:val="22"/>
          <w:szCs w:val="22"/>
        </w:rPr>
        <w:t xml:space="preserve"> </w:t>
      </w:r>
      <w:r w:rsidR="0005310C">
        <w:rPr>
          <w:rFonts w:ascii="Arial" w:hAnsi="Arial" w:cs="Arial"/>
          <w:sz w:val="22"/>
          <w:szCs w:val="22"/>
        </w:rPr>
        <w:t xml:space="preserve">it is clear whether </w:t>
      </w:r>
      <w:r w:rsidR="007957CA">
        <w:rPr>
          <w:rFonts w:ascii="Arial" w:hAnsi="Arial" w:cs="Arial"/>
          <w:sz w:val="22"/>
          <w:szCs w:val="22"/>
        </w:rPr>
        <w:t xml:space="preserve">the </w:t>
      </w:r>
      <w:r w:rsidR="00505FF5">
        <w:rPr>
          <w:rFonts w:ascii="Arial" w:hAnsi="Arial" w:cs="Arial"/>
          <w:sz w:val="22"/>
          <w:szCs w:val="22"/>
        </w:rPr>
        <w:t>prospective purchaser</w:t>
      </w:r>
      <w:r w:rsidR="00381273">
        <w:rPr>
          <w:rFonts w:ascii="Arial" w:hAnsi="Arial" w:cs="Arial"/>
          <w:sz w:val="22"/>
          <w:szCs w:val="22"/>
        </w:rPr>
        <w:t xml:space="preserve"> </w:t>
      </w:r>
      <w:r w:rsidR="007957CA">
        <w:rPr>
          <w:rFonts w:ascii="Arial" w:hAnsi="Arial" w:cs="Arial"/>
          <w:sz w:val="22"/>
          <w:szCs w:val="22"/>
        </w:rPr>
        <w:t>will take an assignment of the existing franchisee’s franchise agreement or be required to enter into the franchisor’s then-curr</w:t>
      </w:r>
      <w:r w:rsidR="008847A1">
        <w:rPr>
          <w:rFonts w:ascii="Arial" w:hAnsi="Arial" w:cs="Arial"/>
          <w:sz w:val="22"/>
          <w:szCs w:val="22"/>
        </w:rPr>
        <w:t>ent form of franchise agreement as a condition precedent to the closing of the transaction.</w:t>
      </w:r>
    </w:p>
    <w:p w14:paraId="4710377D" w14:textId="77777777" w:rsidR="00357973" w:rsidRDefault="00357973" w:rsidP="00250784">
      <w:pPr>
        <w:pStyle w:val="OHHpara"/>
        <w:spacing w:after="0"/>
        <w:ind w:firstLine="720"/>
        <w:contextualSpacing/>
        <w:rPr>
          <w:rFonts w:ascii="Arial" w:hAnsi="Arial" w:cs="Arial"/>
          <w:sz w:val="22"/>
          <w:szCs w:val="22"/>
        </w:rPr>
      </w:pPr>
    </w:p>
    <w:p w14:paraId="3BF8E9FD" w14:textId="38B402DD" w:rsidR="00B03B59" w:rsidRDefault="009A39DD" w:rsidP="00160B92">
      <w:pPr>
        <w:pStyle w:val="OHHpara"/>
        <w:rPr>
          <w:rFonts w:ascii="Arial" w:hAnsi="Arial" w:cs="Arial"/>
          <w:b/>
          <w:caps/>
          <w:sz w:val="22"/>
          <w:szCs w:val="22"/>
        </w:rPr>
      </w:pPr>
      <w:r>
        <w:rPr>
          <w:rFonts w:ascii="Arial" w:hAnsi="Arial" w:cs="Arial"/>
          <w:b/>
          <w:caps/>
          <w:sz w:val="22"/>
          <w:szCs w:val="22"/>
        </w:rPr>
        <w:t>7</w:t>
      </w:r>
      <w:r w:rsidR="00160B92">
        <w:rPr>
          <w:rFonts w:ascii="Arial" w:hAnsi="Arial" w:cs="Arial"/>
          <w:b/>
          <w:caps/>
          <w:sz w:val="22"/>
          <w:szCs w:val="22"/>
        </w:rPr>
        <w:t xml:space="preserve">. </w:t>
      </w:r>
      <w:r w:rsidR="00160B92">
        <w:rPr>
          <w:rFonts w:ascii="Arial" w:hAnsi="Arial" w:cs="Arial"/>
          <w:b/>
          <w:caps/>
          <w:sz w:val="22"/>
          <w:szCs w:val="22"/>
        </w:rPr>
        <w:tab/>
      </w:r>
      <w:r w:rsidR="00127884" w:rsidRPr="00014C1C">
        <w:rPr>
          <w:rFonts w:ascii="Arial" w:hAnsi="Arial" w:cs="Arial"/>
          <w:b/>
          <w:caps/>
          <w:sz w:val="22"/>
          <w:szCs w:val="22"/>
        </w:rPr>
        <w:t>Conclusion</w:t>
      </w:r>
    </w:p>
    <w:p w14:paraId="493442A0" w14:textId="77777777" w:rsidR="003F5A26" w:rsidRDefault="003F5A26" w:rsidP="003F5A26">
      <w:pPr>
        <w:pStyle w:val="OHHpara"/>
        <w:spacing w:after="0"/>
        <w:rPr>
          <w:rFonts w:ascii="Arial" w:hAnsi="Arial" w:cs="Arial"/>
          <w:b/>
          <w:caps/>
          <w:sz w:val="22"/>
          <w:szCs w:val="22"/>
        </w:rPr>
      </w:pPr>
    </w:p>
    <w:p w14:paraId="022AD5BE" w14:textId="0A67B265" w:rsidR="00580AD7" w:rsidRPr="00253D55" w:rsidRDefault="00054D06" w:rsidP="00AE5D1C">
      <w:pPr>
        <w:pStyle w:val="OHHpara"/>
        <w:spacing w:line="480" w:lineRule="auto"/>
        <w:rPr>
          <w:rFonts w:ascii="Arial" w:hAnsi="Arial" w:cs="Arial"/>
          <w:sz w:val="22"/>
          <w:szCs w:val="22"/>
        </w:rPr>
      </w:pPr>
      <w:r>
        <w:rPr>
          <w:rFonts w:ascii="Arial" w:hAnsi="Arial" w:cs="Arial"/>
          <w:sz w:val="22"/>
          <w:szCs w:val="22"/>
        </w:rPr>
        <w:t>A</w:t>
      </w:r>
      <w:r w:rsidR="003F5A26">
        <w:rPr>
          <w:rFonts w:ascii="Arial" w:hAnsi="Arial" w:cs="Arial"/>
          <w:sz w:val="22"/>
          <w:szCs w:val="22"/>
        </w:rPr>
        <w:t xml:space="preserve"> </w:t>
      </w:r>
      <w:r w:rsidR="002442E1">
        <w:rPr>
          <w:rFonts w:ascii="Arial" w:hAnsi="Arial" w:cs="Arial"/>
          <w:sz w:val="22"/>
          <w:szCs w:val="22"/>
        </w:rPr>
        <w:t>franchis</w:t>
      </w:r>
      <w:r w:rsidR="003F5A26">
        <w:rPr>
          <w:rFonts w:ascii="Arial" w:hAnsi="Arial" w:cs="Arial"/>
          <w:sz w:val="22"/>
          <w:szCs w:val="22"/>
        </w:rPr>
        <w:t>ee resale</w:t>
      </w:r>
      <w:r w:rsidR="002442E1">
        <w:rPr>
          <w:rFonts w:ascii="Arial" w:hAnsi="Arial" w:cs="Arial"/>
          <w:sz w:val="22"/>
          <w:szCs w:val="22"/>
        </w:rPr>
        <w:t xml:space="preserve"> transaction </w:t>
      </w:r>
      <w:r w:rsidR="00AE5D1C">
        <w:rPr>
          <w:rFonts w:ascii="Arial" w:hAnsi="Arial" w:cs="Arial"/>
          <w:sz w:val="22"/>
          <w:szCs w:val="22"/>
        </w:rPr>
        <w:t>shares ma</w:t>
      </w:r>
      <w:r w:rsidR="00632C4A">
        <w:rPr>
          <w:rFonts w:ascii="Arial" w:hAnsi="Arial" w:cs="Arial"/>
          <w:sz w:val="22"/>
          <w:szCs w:val="22"/>
        </w:rPr>
        <w:t>ny of the same characteristics of</w:t>
      </w:r>
      <w:r w:rsidR="00AE5D1C">
        <w:rPr>
          <w:rFonts w:ascii="Arial" w:hAnsi="Arial" w:cs="Arial"/>
          <w:sz w:val="22"/>
          <w:szCs w:val="22"/>
        </w:rPr>
        <w:t xml:space="preserve"> </w:t>
      </w:r>
      <w:r w:rsidR="00A52CF9">
        <w:rPr>
          <w:rFonts w:ascii="Arial" w:hAnsi="Arial" w:cs="Arial"/>
          <w:sz w:val="22"/>
          <w:szCs w:val="22"/>
        </w:rPr>
        <w:t>general business acquisition</w:t>
      </w:r>
      <w:r w:rsidR="00AE5D1C">
        <w:rPr>
          <w:rFonts w:ascii="Arial" w:hAnsi="Arial" w:cs="Arial"/>
          <w:sz w:val="22"/>
          <w:szCs w:val="22"/>
        </w:rPr>
        <w:t xml:space="preserve">. Nonetheless, </w:t>
      </w:r>
      <w:r w:rsidR="003F5A26">
        <w:rPr>
          <w:rFonts w:ascii="Arial" w:hAnsi="Arial" w:cs="Arial"/>
          <w:sz w:val="22"/>
          <w:szCs w:val="22"/>
        </w:rPr>
        <w:t>a franchisee resale is</w:t>
      </w:r>
      <w:r w:rsidR="00632C4A">
        <w:rPr>
          <w:rFonts w:ascii="Arial" w:hAnsi="Arial" w:cs="Arial"/>
          <w:sz w:val="22"/>
          <w:szCs w:val="22"/>
        </w:rPr>
        <w:t xml:space="preserve"> unique i</w:t>
      </w:r>
      <w:r w:rsidR="003F5A26">
        <w:rPr>
          <w:rFonts w:ascii="Arial" w:hAnsi="Arial" w:cs="Arial"/>
          <w:sz w:val="22"/>
          <w:szCs w:val="22"/>
        </w:rPr>
        <w:t>n some respects.</w:t>
      </w:r>
      <w:r w:rsidR="00632C4A">
        <w:rPr>
          <w:rFonts w:ascii="Arial" w:hAnsi="Arial" w:cs="Arial"/>
          <w:sz w:val="22"/>
          <w:szCs w:val="22"/>
        </w:rPr>
        <w:t xml:space="preserve"> </w:t>
      </w:r>
      <w:r w:rsidR="00491467">
        <w:rPr>
          <w:rFonts w:ascii="Arial" w:hAnsi="Arial" w:cs="Arial"/>
          <w:sz w:val="22"/>
          <w:szCs w:val="22"/>
        </w:rPr>
        <w:t>It</w:t>
      </w:r>
      <w:r w:rsidR="00580AD7">
        <w:rPr>
          <w:rFonts w:ascii="Arial" w:hAnsi="Arial" w:cs="Arial"/>
          <w:sz w:val="22"/>
          <w:szCs w:val="22"/>
        </w:rPr>
        <w:t xml:space="preserve"> is important </w:t>
      </w:r>
      <w:r w:rsidR="00491467">
        <w:rPr>
          <w:rFonts w:ascii="Arial" w:hAnsi="Arial" w:cs="Arial"/>
          <w:sz w:val="22"/>
          <w:szCs w:val="22"/>
        </w:rPr>
        <w:t xml:space="preserve">to have an understanding of the franchise business model, the regulatory landscape in Ontario, the relationships between the parties involved </w:t>
      </w:r>
      <w:r w:rsidR="00632C4A">
        <w:rPr>
          <w:rFonts w:ascii="Arial" w:hAnsi="Arial" w:cs="Arial"/>
          <w:sz w:val="22"/>
          <w:szCs w:val="22"/>
        </w:rPr>
        <w:t>in</w:t>
      </w:r>
      <w:r w:rsidR="00491467">
        <w:rPr>
          <w:rFonts w:ascii="Arial" w:hAnsi="Arial" w:cs="Arial"/>
          <w:sz w:val="22"/>
          <w:szCs w:val="22"/>
        </w:rPr>
        <w:t xml:space="preserve"> the transaction, and the nature of the assets at stake. </w:t>
      </w:r>
      <w:r w:rsidR="00580AD7">
        <w:rPr>
          <w:rFonts w:ascii="Arial" w:hAnsi="Arial" w:cs="Arial"/>
          <w:sz w:val="22"/>
          <w:szCs w:val="22"/>
        </w:rPr>
        <w:t>This</w:t>
      </w:r>
      <w:r w:rsidR="000800BE">
        <w:rPr>
          <w:rFonts w:ascii="Arial" w:hAnsi="Arial" w:cs="Arial"/>
          <w:sz w:val="22"/>
          <w:szCs w:val="22"/>
        </w:rPr>
        <w:t xml:space="preserve"> </w:t>
      </w:r>
      <w:r w:rsidR="00AF55FC">
        <w:rPr>
          <w:rFonts w:ascii="Arial" w:hAnsi="Arial" w:cs="Arial"/>
          <w:sz w:val="22"/>
          <w:szCs w:val="22"/>
        </w:rPr>
        <w:t xml:space="preserve">understanding will help lawyers to </w:t>
      </w:r>
      <w:r w:rsidR="00CA1092">
        <w:rPr>
          <w:rFonts w:ascii="Arial" w:hAnsi="Arial" w:cs="Arial"/>
          <w:sz w:val="22"/>
          <w:szCs w:val="22"/>
        </w:rPr>
        <w:t xml:space="preserve">effectively </w:t>
      </w:r>
      <w:r w:rsidR="003F5A26">
        <w:rPr>
          <w:rFonts w:ascii="Arial" w:hAnsi="Arial" w:cs="Arial"/>
          <w:sz w:val="22"/>
          <w:szCs w:val="22"/>
        </w:rPr>
        <w:t xml:space="preserve">interact </w:t>
      </w:r>
      <w:r w:rsidR="00CA1092">
        <w:rPr>
          <w:rFonts w:ascii="Arial" w:hAnsi="Arial" w:cs="Arial"/>
          <w:sz w:val="22"/>
          <w:szCs w:val="22"/>
        </w:rPr>
        <w:t>with franchisor</w:t>
      </w:r>
      <w:r w:rsidR="00AF55FC">
        <w:rPr>
          <w:rFonts w:ascii="Arial" w:hAnsi="Arial" w:cs="Arial"/>
          <w:sz w:val="22"/>
          <w:szCs w:val="22"/>
        </w:rPr>
        <w:t>s</w:t>
      </w:r>
      <w:r w:rsidR="00CA1092">
        <w:rPr>
          <w:rFonts w:ascii="Arial" w:hAnsi="Arial" w:cs="Arial"/>
          <w:sz w:val="22"/>
          <w:szCs w:val="22"/>
        </w:rPr>
        <w:t xml:space="preserve">, and </w:t>
      </w:r>
      <w:r w:rsidR="00AF55FC">
        <w:rPr>
          <w:rFonts w:ascii="Arial" w:hAnsi="Arial" w:cs="Arial"/>
          <w:sz w:val="22"/>
          <w:szCs w:val="22"/>
        </w:rPr>
        <w:t xml:space="preserve">give </w:t>
      </w:r>
      <w:r w:rsidR="00632C4A">
        <w:rPr>
          <w:rFonts w:ascii="Arial" w:hAnsi="Arial" w:cs="Arial"/>
          <w:sz w:val="22"/>
          <w:szCs w:val="22"/>
        </w:rPr>
        <w:t>independent legal advice that is tailored and realistic based on the client</w:t>
      </w:r>
      <w:r w:rsidR="002442E1">
        <w:rPr>
          <w:rFonts w:ascii="Arial" w:hAnsi="Arial" w:cs="Arial"/>
          <w:sz w:val="22"/>
          <w:szCs w:val="22"/>
        </w:rPr>
        <w:t>’s</w:t>
      </w:r>
      <w:r w:rsidR="00632C4A">
        <w:rPr>
          <w:rFonts w:ascii="Arial" w:hAnsi="Arial" w:cs="Arial"/>
          <w:sz w:val="22"/>
          <w:szCs w:val="22"/>
        </w:rPr>
        <w:t xml:space="preserve"> expectations</w:t>
      </w:r>
      <w:r w:rsidR="00CA1092">
        <w:rPr>
          <w:rFonts w:ascii="Arial" w:hAnsi="Arial" w:cs="Arial"/>
          <w:sz w:val="22"/>
          <w:szCs w:val="22"/>
        </w:rPr>
        <w:t xml:space="preserve">. It </w:t>
      </w:r>
      <w:r w:rsidR="00AF55FC">
        <w:rPr>
          <w:rFonts w:ascii="Arial" w:hAnsi="Arial" w:cs="Arial"/>
          <w:sz w:val="22"/>
          <w:szCs w:val="22"/>
        </w:rPr>
        <w:t xml:space="preserve">should </w:t>
      </w:r>
      <w:r w:rsidR="00CA1092">
        <w:rPr>
          <w:rFonts w:ascii="Arial" w:hAnsi="Arial" w:cs="Arial"/>
          <w:sz w:val="22"/>
          <w:szCs w:val="22"/>
        </w:rPr>
        <w:t>also inform</w:t>
      </w:r>
      <w:r w:rsidR="0016710A">
        <w:rPr>
          <w:rFonts w:ascii="Arial" w:hAnsi="Arial" w:cs="Arial"/>
          <w:sz w:val="22"/>
          <w:szCs w:val="22"/>
        </w:rPr>
        <w:t xml:space="preserve"> the</w:t>
      </w:r>
      <w:r w:rsidR="00CF25FD">
        <w:rPr>
          <w:rFonts w:ascii="Arial" w:hAnsi="Arial" w:cs="Arial"/>
          <w:sz w:val="22"/>
          <w:szCs w:val="22"/>
        </w:rPr>
        <w:t xml:space="preserve"> </w:t>
      </w:r>
      <w:r w:rsidR="00AF55FC">
        <w:rPr>
          <w:rFonts w:ascii="Arial" w:hAnsi="Arial" w:cs="Arial"/>
          <w:sz w:val="22"/>
          <w:szCs w:val="22"/>
        </w:rPr>
        <w:t xml:space="preserve">lawyer’s </w:t>
      </w:r>
      <w:r w:rsidR="00CF25FD">
        <w:rPr>
          <w:rFonts w:ascii="Arial" w:hAnsi="Arial" w:cs="Arial"/>
          <w:sz w:val="22"/>
          <w:szCs w:val="22"/>
        </w:rPr>
        <w:t xml:space="preserve">approach </w:t>
      </w:r>
      <w:r w:rsidR="00632C4A">
        <w:rPr>
          <w:rFonts w:ascii="Arial" w:hAnsi="Arial" w:cs="Arial"/>
          <w:sz w:val="22"/>
          <w:szCs w:val="22"/>
        </w:rPr>
        <w:t xml:space="preserve">to </w:t>
      </w:r>
      <w:r w:rsidR="00CF25FD">
        <w:rPr>
          <w:rFonts w:ascii="Arial" w:hAnsi="Arial" w:cs="Arial"/>
          <w:sz w:val="22"/>
          <w:szCs w:val="22"/>
        </w:rPr>
        <w:t>the due diligence process</w:t>
      </w:r>
      <w:r w:rsidR="00FF12EE">
        <w:rPr>
          <w:rFonts w:ascii="Arial" w:hAnsi="Arial" w:cs="Arial"/>
          <w:sz w:val="22"/>
          <w:szCs w:val="22"/>
        </w:rPr>
        <w:t xml:space="preserve"> and the</w:t>
      </w:r>
      <w:r w:rsidR="00632C4A">
        <w:rPr>
          <w:rFonts w:ascii="Arial" w:hAnsi="Arial" w:cs="Arial"/>
          <w:sz w:val="22"/>
          <w:szCs w:val="22"/>
        </w:rPr>
        <w:t xml:space="preserve"> drafting</w:t>
      </w:r>
      <w:r w:rsidR="009F71AC">
        <w:rPr>
          <w:rFonts w:ascii="Arial" w:hAnsi="Arial" w:cs="Arial"/>
          <w:sz w:val="22"/>
          <w:szCs w:val="22"/>
        </w:rPr>
        <w:t xml:space="preserve"> </w:t>
      </w:r>
      <w:r w:rsidR="00FF12EE">
        <w:rPr>
          <w:rFonts w:ascii="Arial" w:hAnsi="Arial" w:cs="Arial"/>
          <w:sz w:val="22"/>
          <w:szCs w:val="22"/>
        </w:rPr>
        <w:t xml:space="preserve">of </w:t>
      </w:r>
      <w:r w:rsidR="00730C43">
        <w:rPr>
          <w:rFonts w:ascii="Arial" w:hAnsi="Arial" w:cs="Arial"/>
          <w:sz w:val="22"/>
          <w:szCs w:val="22"/>
        </w:rPr>
        <w:t xml:space="preserve">the </w:t>
      </w:r>
      <w:r w:rsidR="00580AD7">
        <w:rPr>
          <w:rFonts w:ascii="Arial" w:hAnsi="Arial" w:cs="Arial"/>
          <w:sz w:val="22"/>
          <w:szCs w:val="22"/>
        </w:rPr>
        <w:t>purchase agreement.</w:t>
      </w:r>
      <w:r w:rsidR="00FF12EE">
        <w:rPr>
          <w:rFonts w:ascii="Arial" w:hAnsi="Arial" w:cs="Arial"/>
          <w:sz w:val="22"/>
          <w:szCs w:val="22"/>
        </w:rPr>
        <w:t xml:space="preserve"> </w:t>
      </w:r>
      <w:r w:rsidR="00D96C55">
        <w:rPr>
          <w:rFonts w:ascii="Arial" w:hAnsi="Arial" w:cs="Arial"/>
          <w:sz w:val="22"/>
          <w:szCs w:val="22"/>
        </w:rPr>
        <w:t>Kn</w:t>
      </w:r>
      <w:r w:rsidR="00FF12EE">
        <w:rPr>
          <w:rFonts w:ascii="Arial" w:hAnsi="Arial" w:cs="Arial"/>
          <w:sz w:val="22"/>
          <w:szCs w:val="22"/>
        </w:rPr>
        <w:t>owledge and consideration of these elements will</w:t>
      </w:r>
      <w:r w:rsidR="00D96C55">
        <w:rPr>
          <w:rFonts w:ascii="Arial" w:hAnsi="Arial" w:cs="Arial"/>
          <w:sz w:val="22"/>
          <w:szCs w:val="22"/>
        </w:rPr>
        <w:t xml:space="preserve"> help to mitigate against any risks associated with the transaction and, ultimately, help</w:t>
      </w:r>
      <w:r w:rsidR="00592ED0">
        <w:rPr>
          <w:rFonts w:ascii="Arial" w:hAnsi="Arial" w:cs="Arial"/>
          <w:sz w:val="22"/>
          <w:szCs w:val="22"/>
        </w:rPr>
        <w:t xml:space="preserve"> with realizing t</w:t>
      </w:r>
      <w:r w:rsidR="00D96C55">
        <w:rPr>
          <w:rFonts w:ascii="Arial" w:hAnsi="Arial" w:cs="Arial"/>
          <w:sz w:val="22"/>
          <w:szCs w:val="22"/>
        </w:rPr>
        <w:t>he potential</w:t>
      </w:r>
      <w:r w:rsidR="00FF12EE">
        <w:rPr>
          <w:rFonts w:ascii="Arial" w:hAnsi="Arial" w:cs="Arial"/>
          <w:sz w:val="22"/>
          <w:szCs w:val="22"/>
        </w:rPr>
        <w:t xml:space="preserve"> advantages of the </w:t>
      </w:r>
      <w:r w:rsidR="00505FF5">
        <w:rPr>
          <w:rFonts w:ascii="Arial" w:hAnsi="Arial" w:cs="Arial"/>
          <w:sz w:val="22"/>
          <w:szCs w:val="22"/>
        </w:rPr>
        <w:t>franchisee resale</w:t>
      </w:r>
      <w:r w:rsidR="00D96C55">
        <w:rPr>
          <w:rFonts w:ascii="Arial" w:hAnsi="Arial" w:cs="Arial"/>
          <w:sz w:val="22"/>
          <w:szCs w:val="22"/>
        </w:rPr>
        <w:t xml:space="preserve"> for the prospective purchaser, the </w:t>
      </w:r>
      <w:r w:rsidR="002442E1">
        <w:rPr>
          <w:rFonts w:ascii="Arial" w:hAnsi="Arial" w:cs="Arial"/>
          <w:sz w:val="22"/>
          <w:szCs w:val="22"/>
        </w:rPr>
        <w:t>existing</w:t>
      </w:r>
      <w:r w:rsidR="00D96C55">
        <w:rPr>
          <w:rFonts w:ascii="Arial" w:hAnsi="Arial" w:cs="Arial"/>
          <w:sz w:val="22"/>
          <w:szCs w:val="22"/>
        </w:rPr>
        <w:t xml:space="preserve"> franchise</w:t>
      </w:r>
      <w:r w:rsidR="002442E1">
        <w:rPr>
          <w:rFonts w:ascii="Arial" w:hAnsi="Arial" w:cs="Arial"/>
          <w:sz w:val="22"/>
          <w:szCs w:val="22"/>
        </w:rPr>
        <w:t>e</w:t>
      </w:r>
      <w:r w:rsidR="00D96C55">
        <w:rPr>
          <w:rFonts w:ascii="Arial" w:hAnsi="Arial" w:cs="Arial"/>
          <w:sz w:val="22"/>
          <w:szCs w:val="22"/>
        </w:rPr>
        <w:t xml:space="preserve">, and the franchisor. </w:t>
      </w:r>
      <w:r w:rsidR="00FF12EE">
        <w:rPr>
          <w:rFonts w:ascii="Arial" w:hAnsi="Arial" w:cs="Arial"/>
          <w:sz w:val="22"/>
          <w:szCs w:val="22"/>
        </w:rPr>
        <w:t xml:space="preserve"> </w:t>
      </w:r>
    </w:p>
    <w:sectPr w:rsidR="00580AD7" w:rsidRPr="00253D55">
      <w:headerReference w:type="even" r:id="rId8"/>
      <w:headerReference w:type="default" r:id="rId9"/>
      <w:footerReference w:type="default" r:id="rId10"/>
      <w:headerReference w:type="first" r:id="rId11"/>
      <w:footerReference w:type="first" r:id="rId12"/>
      <w:pgSz w:w="12240" w:h="15840"/>
      <w:pgMar w:top="1440" w:right="1440" w:bottom="1008" w:left="144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24BC2" w14:textId="77777777" w:rsidR="00100033" w:rsidRDefault="00100033">
      <w:r>
        <w:separator/>
      </w:r>
    </w:p>
  </w:endnote>
  <w:endnote w:type="continuationSeparator" w:id="0">
    <w:p w14:paraId="4F0955DA" w14:textId="77777777" w:rsidR="00100033" w:rsidRDefault="0010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AD14A" w14:textId="77777777" w:rsidR="00100033" w:rsidRPr="00127884" w:rsidRDefault="00100033">
    <w:pPr>
      <w:pStyle w:val="Footer"/>
      <w:jc w:val="center"/>
      <w:rPr>
        <w:rFonts w:ascii="Arial" w:hAnsi="Arial" w:cs="Arial"/>
        <w:sz w:val="22"/>
        <w:szCs w:val="22"/>
      </w:rPr>
    </w:pPr>
    <w:r>
      <w:rPr>
        <w:noProof/>
        <w:sz w:val="20"/>
        <w:lang w:eastAsia="en-CA"/>
      </w:rPr>
      <mc:AlternateContent>
        <mc:Choice Requires="wps">
          <w:drawing>
            <wp:anchor distT="0" distB="0" distL="114300" distR="114300" simplePos="0" relativeHeight="251659264" behindDoc="0" locked="1" layoutInCell="0" allowOverlap="1" wp14:anchorId="48D01196" wp14:editId="713F829A">
              <wp:simplePos x="0" y="0"/>
              <wp:positionH relativeFrom="margin">
                <wp:posOffset>0</wp:posOffset>
              </wp:positionH>
              <wp:positionV relativeFrom="paragraph">
                <wp:posOffset>137160</wp:posOffset>
              </wp:positionV>
              <wp:extent cx="2743200" cy="457200"/>
              <wp:effectExtent l="0" t="0" r="0" b="0"/>
              <wp:wrapNone/>
              <wp:docPr id="14" name="DocsID_PF4268876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DDE63" w14:textId="77777777" w:rsidR="00100033" w:rsidRDefault="00186A37">
                          <w:pPr>
                            <w:pStyle w:val="DocsID"/>
                          </w:pPr>
                          <w:r>
                            <w:fldChar w:fldCharType="begin"/>
                          </w:r>
                          <w:r>
                            <w:instrText xml:space="preserve"> DOCPROPERTY "DocsID"  \* MERGEFORMAT </w:instrText>
                          </w:r>
                          <w:r>
                            <w:fldChar w:fldCharType="separate"/>
                          </w:r>
                          <w:r>
                            <w:t>LEGAL_1:42592414.4</w:t>
                          </w:r>
                          <w:r>
                            <w:fldChar w:fldCharType="end"/>
                          </w:r>
                        </w:p>
                      </w:txbxContent>
                    </wps:txbx>
                    <wps:bodyPr rot="0" vert="horz" wrap="square" lIns="0" tIns="0" rIns="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01196" id="_x0000_t202" coordsize="21600,21600" o:spt="202" path="m,l,21600r21600,l21600,xe">
              <v:stroke joinstyle="miter"/>
              <v:path gradientshapeok="t" o:connecttype="rect"/>
            </v:shapetype>
            <v:shape id="DocsID_PF4268876971" o:spid="_x0000_s1026" type="#_x0000_t202" style="position:absolute;left:0;text-align:left;margin-left:0;margin-top:10.8pt;width:3in;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" o:allowincell="f" stroked="f">
              <v:textbox inset="0,0,0,18pt">
                <w:txbxContent>
                  <w:p w14:paraId="26FDDE63" w14:textId="77777777" w:rsidR="00100033" w:rsidRDefault="00186A37">
                    <w:pPr>
                      <w:pStyle w:val="DocsID"/>
                    </w:pPr>
                    <w:r>
                      <w:fldChar w:fldCharType="begin"/>
                    </w:r>
                    <w:r>
                      <w:instrText xml:space="preserve"> DOCPROPERTY "DocsID"  \* MERGEFORMAT </w:instrText>
                    </w:r>
                    <w:r>
                      <w:fldChar w:fldCharType="separate"/>
                    </w:r>
                    <w:r>
                      <w:t>LEGAL_1:42592414.4</w:t>
                    </w:r>
                    <w:r>
                      <w:fldChar w:fldCharType="end"/>
                    </w:r>
                  </w:p>
                </w:txbxContent>
              </v:textbox>
              <w10:wrap anchorx="margin"/>
              <w10:anchorlock/>
            </v:shape>
          </w:pict>
        </mc:Fallback>
      </mc:AlternateContent>
    </w:r>
    <w:sdt>
      <w:sdtPr>
        <w:id w:val="-1107801229"/>
        <w:docPartObj>
          <w:docPartGallery w:val="Page Numbers (Bottom of Page)"/>
          <w:docPartUnique/>
        </w:docPartObj>
      </w:sdtPr>
      <w:sdtEndPr>
        <w:rPr>
          <w:rFonts w:ascii="Arial" w:hAnsi="Arial" w:cs="Arial"/>
          <w:sz w:val="22"/>
          <w:szCs w:val="22"/>
        </w:rPr>
      </w:sdtEndPr>
      <w:sdtContent>
        <w:r w:rsidRPr="00127884">
          <w:rPr>
            <w:rFonts w:ascii="Arial" w:hAnsi="Arial" w:cs="Arial"/>
            <w:sz w:val="22"/>
            <w:szCs w:val="22"/>
          </w:rPr>
          <w:fldChar w:fldCharType="begin"/>
        </w:r>
        <w:r w:rsidRPr="00127884">
          <w:rPr>
            <w:rFonts w:ascii="Arial" w:hAnsi="Arial" w:cs="Arial"/>
            <w:sz w:val="22"/>
            <w:szCs w:val="22"/>
          </w:rPr>
          <w:instrText xml:space="preserve"> PAGE   \* MERGEFORMAT </w:instrText>
        </w:r>
        <w:r w:rsidRPr="00127884">
          <w:rPr>
            <w:rFonts w:ascii="Arial" w:hAnsi="Arial" w:cs="Arial"/>
            <w:sz w:val="22"/>
            <w:szCs w:val="22"/>
          </w:rPr>
          <w:fldChar w:fldCharType="separate"/>
        </w:r>
        <w:r w:rsidR="00186A37">
          <w:rPr>
            <w:rFonts w:ascii="Arial" w:hAnsi="Arial" w:cs="Arial"/>
            <w:noProof/>
            <w:sz w:val="22"/>
            <w:szCs w:val="22"/>
          </w:rPr>
          <w:t>13</w:t>
        </w:r>
        <w:r w:rsidRPr="00127884">
          <w:rPr>
            <w:rFonts w:ascii="Arial" w:hAnsi="Arial" w:cs="Arial"/>
            <w:noProof/>
            <w:sz w:val="22"/>
            <w:szCs w:val="22"/>
          </w:rPr>
          <w:fldChar w:fldCharType="end"/>
        </w:r>
      </w:sdtContent>
    </w:sdt>
  </w:p>
  <w:p w14:paraId="52ABC811" w14:textId="77777777" w:rsidR="00100033" w:rsidRDefault="00100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6A018" w14:textId="77777777" w:rsidR="00100033" w:rsidRDefault="00100033">
    <w:pPr>
      <w:pStyle w:val="Footer"/>
    </w:pPr>
    <w:r>
      <w:rPr>
        <w:noProof/>
        <w:sz w:val="20"/>
        <w:lang w:eastAsia="en-CA"/>
      </w:rPr>
      <mc:AlternateContent>
        <mc:Choice Requires="wps">
          <w:drawing>
            <wp:anchor distT="0" distB="0" distL="114300" distR="114300" simplePos="0" relativeHeight="251661312" behindDoc="0" locked="1" layoutInCell="0" allowOverlap="1" wp14:anchorId="2C82495B" wp14:editId="1D44E1D5">
              <wp:simplePos x="0" y="0"/>
              <wp:positionH relativeFrom="margin">
                <wp:posOffset>0</wp:posOffset>
              </wp:positionH>
              <wp:positionV relativeFrom="paragraph">
                <wp:posOffset>137160</wp:posOffset>
              </wp:positionV>
              <wp:extent cx="2743200" cy="457200"/>
              <wp:effectExtent l="0" t="0" r="0" b="0"/>
              <wp:wrapNone/>
              <wp:docPr id="7" name="DocsID_FF4268876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462CDF" w14:textId="77777777" w:rsidR="00100033" w:rsidRDefault="00186A37">
                          <w:pPr>
                            <w:pStyle w:val="DocsID"/>
                          </w:pPr>
                          <w:r>
                            <w:fldChar w:fldCharType="begin"/>
                          </w:r>
                          <w:r>
                            <w:instrText xml:space="preserve"> DOCPROPERTY "DocsID"  \* MERGEFORMAT </w:instrText>
                          </w:r>
                          <w:r>
                            <w:fldChar w:fldCharType="separate"/>
                          </w:r>
                          <w:r>
                            <w:t>LEGAL_1:42592414.4</w:t>
                          </w:r>
                          <w:r>
                            <w:fldChar w:fldCharType="end"/>
                          </w:r>
                        </w:p>
                      </w:txbxContent>
                    </wps:txbx>
                    <wps:bodyPr rot="0" vert="horz" wrap="square" lIns="0" tIns="0" rIns="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2495B" id="_x0000_t202" coordsize="21600,21600" o:spt="202" path="m,l,21600r21600,l21600,xe">
              <v:stroke joinstyle="miter"/>
              <v:path gradientshapeok="t" o:connecttype="rect"/>
            </v:shapetype>
            <v:shape id="DocsID_FF4268876971" o:spid="_x0000_s1027" type="#_x0000_t202" style="position:absolute;margin-left:0;margin-top:10.8pt;width:3in;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" o:allowincell="f" stroked="f">
              <v:textbox inset="0,0,0,18pt">
                <w:txbxContent>
                  <w:p w14:paraId="37462CDF" w14:textId="77777777" w:rsidR="00100033" w:rsidRDefault="00186A37">
                    <w:pPr>
                      <w:pStyle w:val="DocsID"/>
                    </w:pPr>
                    <w:r>
                      <w:fldChar w:fldCharType="begin"/>
                    </w:r>
                    <w:r>
                      <w:instrText xml:space="preserve"> DOCPROPERTY "DocsID"  \* MERGEFORMAT </w:instrText>
                    </w:r>
                    <w:r>
                      <w:fldChar w:fldCharType="separate"/>
                    </w:r>
                    <w:r>
                      <w:t>LEGAL_1:42592414.4</w:t>
                    </w:r>
                    <w:r>
                      <w:fldChar w:fldCharType="end"/>
                    </w:r>
                  </w:p>
                </w:txbxContent>
              </v:textbox>
              <w10:wrap anchorx="margin"/>
              <w10:anchorlock/>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5B0D2" w14:textId="77777777" w:rsidR="00100033" w:rsidRDefault="00100033">
      <w:r>
        <w:separator/>
      </w:r>
    </w:p>
  </w:footnote>
  <w:footnote w:type="continuationSeparator" w:id="0">
    <w:p w14:paraId="5FC2FDDC" w14:textId="77777777" w:rsidR="00100033" w:rsidRDefault="00100033">
      <w:r>
        <w:continuationSeparator/>
      </w:r>
    </w:p>
  </w:footnote>
  <w:footnote w:id="1">
    <w:p w14:paraId="6BB5C4A0" w14:textId="0BA0F091" w:rsidR="00100033" w:rsidRPr="00E1298C" w:rsidRDefault="00100033">
      <w:pPr>
        <w:pStyle w:val="FootnoteText"/>
        <w:rPr>
          <w:rFonts w:ascii="Arial" w:hAnsi="Arial" w:cs="Arial"/>
          <w:sz w:val="18"/>
          <w:szCs w:val="18"/>
          <w:lang w:val="en-US"/>
        </w:rPr>
      </w:pPr>
      <w:r w:rsidRPr="00E1298C">
        <w:rPr>
          <w:rStyle w:val="FootnoteReference"/>
          <w:rFonts w:ascii="Arial" w:hAnsi="Arial" w:cs="Arial"/>
          <w:sz w:val="18"/>
          <w:szCs w:val="18"/>
        </w:rPr>
        <w:footnoteRef/>
      </w:r>
      <w:r w:rsidRPr="00E1298C">
        <w:rPr>
          <w:rFonts w:ascii="Arial" w:hAnsi="Arial" w:cs="Arial"/>
          <w:sz w:val="18"/>
          <w:szCs w:val="18"/>
        </w:rPr>
        <w:t xml:space="preserve"> </w:t>
      </w:r>
      <w:r w:rsidRPr="00E1298C">
        <w:rPr>
          <w:rFonts w:ascii="Arial" w:hAnsi="Arial" w:cs="Arial"/>
          <w:sz w:val="18"/>
          <w:szCs w:val="18"/>
          <w:lang w:val="en-US"/>
        </w:rPr>
        <w:tab/>
        <w:t>The authors wish to thank Natasha Chin, articling student at Osler, Hoskin &amp; Harcourt LLP, for her invaluable contributions to this paper.</w:t>
      </w:r>
    </w:p>
  </w:footnote>
  <w:footnote w:id="2">
    <w:p w14:paraId="144A1D4B" w14:textId="277D532A" w:rsidR="00100033" w:rsidRPr="00E1298C" w:rsidRDefault="00100033">
      <w:pPr>
        <w:pStyle w:val="FootnoteText"/>
        <w:rPr>
          <w:rFonts w:ascii="Arial" w:hAnsi="Arial" w:cs="Arial"/>
          <w:sz w:val="18"/>
          <w:szCs w:val="18"/>
          <w:lang w:val="en-US"/>
        </w:rPr>
      </w:pPr>
      <w:r w:rsidRPr="00E1298C">
        <w:rPr>
          <w:rStyle w:val="FootnoteReference"/>
          <w:rFonts w:ascii="Arial" w:hAnsi="Arial" w:cs="Arial"/>
          <w:sz w:val="18"/>
          <w:szCs w:val="18"/>
        </w:rPr>
        <w:footnoteRef/>
      </w:r>
      <w:r w:rsidRPr="00E1298C">
        <w:rPr>
          <w:rFonts w:ascii="Arial" w:hAnsi="Arial" w:cs="Arial"/>
          <w:sz w:val="18"/>
          <w:szCs w:val="18"/>
        </w:rPr>
        <w:t xml:space="preserve"> </w:t>
      </w:r>
      <w:r w:rsidRPr="00E1298C">
        <w:rPr>
          <w:rFonts w:ascii="Arial" w:hAnsi="Arial" w:cs="Arial"/>
          <w:sz w:val="18"/>
          <w:szCs w:val="18"/>
        </w:rPr>
        <w:tab/>
      </w:r>
      <w:r w:rsidRPr="00E1298C">
        <w:rPr>
          <w:rFonts w:ascii="Arial" w:hAnsi="Arial" w:cs="Arial"/>
          <w:sz w:val="18"/>
          <w:szCs w:val="18"/>
          <w:lang w:val="en-US"/>
        </w:rPr>
        <w:t>Christine Jackson is a Senior Associate in the Franchise &amp; Distribution Group at Osler, Hoskin &amp; Harcourt LLP with extensive experience in franchisors in connection with the purchase and sale of unit franchises.</w:t>
      </w:r>
    </w:p>
  </w:footnote>
  <w:footnote w:id="3">
    <w:p w14:paraId="5415CC33" w14:textId="753C94CD" w:rsidR="00100033" w:rsidRPr="00F50F09" w:rsidRDefault="00100033">
      <w:pPr>
        <w:pStyle w:val="FootnoteText"/>
        <w:rPr>
          <w:lang w:val="en-US"/>
        </w:rPr>
      </w:pPr>
      <w:r w:rsidRPr="00E1298C">
        <w:rPr>
          <w:rStyle w:val="FootnoteReference"/>
          <w:rFonts w:ascii="Arial" w:hAnsi="Arial" w:cs="Arial"/>
          <w:sz w:val="18"/>
          <w:szCs w:val="18"/>
        </w:rPr>
        <w:footnoteRef/>
      </w:r>
      <w:r w:rsidRPr="00E1298C">
        <w:rPr>
          <w:rFonts w:ascii="Arial" w:hAnsi="Arial" w:cs="Arial"/>
          <w:sz w:val="18"/>
          <w:szCs w:val="18"/>
        </w:rPr>
        <w:t xml:space="preserve"> </w:t>
      </w:r>
      <w:r w:rsidRPr="00E1298C">
        <w:rPr>
          <w:rFonts w:ascii="Arial" w:hAnsi="Arial" w:cs="Arial"/>
          <w:sz w:val="18"/>
          <w:szCs w:val="18"/>
          <w:lang w:val="en-US"/>
        </w:rPr>
        <w:tab/>
        <w:t>Andrae Marrocco is a Partner in the Toronto office of Dickinson Wright LLP. Andrae’s practice areas include Corporate M&amp;A, Franchise &amp; Distribution, and International Transactions.</w:t>
      </w:r>
    </w:p>
  </w:footnote>
  <w:footnote w:id="4">
    <w:p w14:paraId="76985D93" w14:textId="3A3AAA70" w:rsidR="00100033" w:rsidRPr="00266FD1" w:rsidRDefault="00100033">
      <w:pPr>
        <w:pStyle w:val="FootnoteText"/>
        <w:rPr>
          <w:rFonts w:ascii="Arial" w:hAnsi="Arial" w:cs="Arial"/>
          <w:sz w:val="18"/>
          <w:szCs w:val="18"/>
        </w:rPr>
      </w:pPr>
      <w:r w:rsidRPr="00266FD1">
        <w:rPr>
          <w:rStyle w:val="FootnoteReference"/>
          <w:rFonts w:ascii="Arial" w:hAnsi="Arial" w:cs="Arial"/>
          <w:sz w:val="18"/>
          <w:szCs w:val="18"/>
        </w:rPr>
        <w:footnoteRef/>
      </w:r>
      <w:r w:rsidRPr="00266FD1">
        <w:rPr>
          <w:rFonts w:ascii="Arial" w:hAnsi="Arial" w:cs="Arial"/>
          <w:sz w:val="18"/>
          <w:szCs w:val="18"/>
        </w:rPr>
        <w:t xml:space="preserve"> </w:t>
      </w:r>
      <w:r>
        <w:rPr>
          <w:rFonts w:ascii="Arial" w:hAnsi="Arial" w:cs="Arial"/>
          <w:sz w:val="18"/>
          <w:szCs w:val="18"/>
        </w:rPr>
        <w:tab/>
      </w:r>
      <w:r w:rsidRPr="00266FD1">
        <w:rPr>
          <w:rFonts w:ascii="Arial" w:hAnsi="Arial" w:cs="Arial"/>
          <w:sz w:val="18"/>
          <w:szCs w:val="18"/>
        </w:rPr>
        <w:t>SO 2000, c 3 (</w:t>
      </w:r>
      <w:r>
        <w:rPr>
          <w:rFonts w:ascii="Arial" w:hAnsi="Arial" w:cs="Arial"/>
          <w:sz w:val="18"/>
          <w:szCs w:val="18"/>
        </w:rPr>
        <w:t>the</w:t>
      </w:r>
      <w:r w:rsidRPr="00266FD1">
        <w:rPr>
          <w:rFonts w:ascii="Arial" w:hAnsi="Arial" w:cs="Arial"/>
          <w:sz w:val="18"/>
          <w:szCs w:val="18"/>
        </w:rPr>
        <w:t xml:space="preserve"> “Act”). </w:t>
      </w:r>
    </w:p>
  </w:footnote>
  <w:footnote w:id="5">
    <w:p w14:paraId="01A3C661" w14:textId="77A95D08" w:rsidR="00100033" w:rsidRPr="00CF27C9" w:rsidRDefault="00100033">
      <w:pPr>
        <w:pStyle w:val="FootnoteText"/>
      </w:pPr>
      <w:r w:rsidRPr="00266FD1">
        <w:rPr>
          <w:rStyle w:val="FootnoteReference"/>
          <w:rFonts w:ascii="Arial" w:hAnsi="Arial" w:cs="Arial"/>
          <w:sz w:val="18"/>
          <w:szCs w:val="18"/>
        </w:rPr>
        <w:footnoteRef/>
      </w:r>
      <w:r w:rsidRPr="00266FD1">
        <w:rPr>
          <w:rFonts w:ascii="Arial" w:hAnsi="Arial" w:cs="Arial"/>
          <w:sz w:val="18"/>
          <w:szCs w:val="18"/>
        </w:rPr>
        <w:t xml:space="preserve"> </w:t>
      </w:r>
      <w:r>
        <w:rPr>
          <w:rFonts w:ascii="Arial" w:hAnsi="Arial" w:cs="Arial"/>
          <w:sz w:val="18"/>
          <w:szCs w:val="18"/>
        </w:rPr>
        <w:tab/>
      </w:r>
      <w:r w:rsidRPr="00266FD1">
        <w:rPr>
          <w:rFonts w:ascii="Arial" w:hAnsi="Arial" w:cs="Arial"/>
          <w:sz w:val="18"/>
          <w:szCs w:val="18"/>
        </w:rPr>
        <w:t xml:space="preserve">Ted Tjaden, </w:t>
      </w:r>
      <w:r w:rsidRPr="00266FD1">
        <w:rPr>
          <w:rFonts w:ascii="Arial" w:hAnsi="Arial" w:cs="Arial"/>
          <w:i/>
          <w:sz w:val="18"/>
          <w:szCs w:val="18"/>
        </w:rPr>
        <w:t>The Law of Independent Legal Advice</w:t>
      </w:r>
      <w:r w:rsidRPr="00266FD1">
        <w:rPr>
          <w:rFonts w:ascii="Arial" w:hAnsi="Arial" w:cs="Arial"/>
          <w:sz w:val="18"/>
          <w:szCs w:val="18"/>
        </w:rPr>
        <w:t xml:space="preserve"> (Scarborough, ON: Carswell, 2000) at 4. </w:t>
      </w:r>
    </w:p>
  </w:footnote>
  <w:footnote w:id="6">
    <w:p w14:paraId="640A97A9" w14:textId="3762EDA6" w:rsidR="00100033" w:rsidRPr="00266FD1" w:rsidRDefault="00100033">
      <w:pPr>
        <w:pStyle w:val="FootnoteText"/>
        <w:rPr>
          <w:rFonts w:ascii="Arial" w:hAnsi="Arial" w:cs="Arial"/>
          <w:sz w:val="18"/>
          <w:szCs w:val="18"/>
        </w:rPr>
      </w:pPr>
      <w:r>
        <w:rPr>
          <w:rStyle w:val="FootnoteReference"/>
        </w:rPr>
        <w:footnoteRef/>
      </w:r>
      <w:r>
        <w:rPr>
          <w:rFonts w:ascii="Arial" w:hAnsi="Arial" w:cs="Arial"/>
          <w:sz w:val="18"/>
          <w:szCs w:val="18"/>
        </w:rPr>
        <w:t xml:space="preserve"> </w:t>
      </w:r>
      <w:r>
        <w:rPr>
          <w:rFonts w:ascii="Arial" w:hAnsi="Arial" w:cs="Arial"/>
          <w:sz w:val="18"/>
          <w:szCs w:val="18"/>
        </w:rPr>
        <w:tab/>
      </w:r>
      <w:r w:rsidRPr="00266FD1">
        <w:rPr>
          <w:rFonts w:ascii="Arial" w:hAnsi="Arial" w:cs="Arial"/>
          <w:sz w:val="18"/>
          <w:szCs w:val="18"/>
        </w:rPr>
        <w:t xml:space="preserve">Ted Tjaden, </w:t>
      </w:r>
      <w:r w:rsidRPr="00266FD1">
        <w:rPr>
          <w:rFonts w:ascii="Arial" w:hAnsi="Arial" w:cs="Arial"/>
          <w:i/>
          <w:sz w:val="18"/>
          <w:szCs w:val="18"/>
        </w:rPr>
        <w:t>The Law of Independent Legal Advice</w:t>
      </w:r>
      <w:r w:rsidRPr="00266FD1">
        <w:rPr>
          <w:rFonts w:ascii="Arial" w:hAnsi="Arial" w:cs="Arial"/>
          <w:sz w:val="18"/>
          <w:szCs w:val="18"/>
        </w:rPr>
        <w:t xml:space="preserve"> (Scarborough, ON: Carswell, 2000) at 1.</w:t>
      </w:r>
    </w:p>
  </w:footnote>
  <w:footnote w:id="7">
    <w:p w14:paraId="35F269E5" w14:textId="6943C8F4" w:rsidR="00100033" w:rsidRPr="00266FD1" w:rsidRDefault="00100033" w:rsidP="00016E48">
      <w:pPr>
        <w:pStyle w:val="FootnoteText"/>
        <w:jc w:val="left"/>
        <w:rPr>
          <w:rFonts w:ascii="Arial" w:hAnsi="Arial" w:cs="Arial"/>
          <w:sz w:val="18"/>
          <w:szCs w:val="18"/>
        </w:rPr>
      </w:pPr>
      <w:r w:rsidRPr="00266FD1">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rPr>
        <w:tab/>
        <w:t>“</w:t>
      </w:r>
      <w:r w:rsidRPr="00266FD1">
        <w:rPr>
          <w:rFonts w:ascii="Arial" w:hAnsi="Arial" w:cs="Arial"/>
          <w:sz w:val="18"/>
          <w:szCs w:val="18"/>
        </w:rPr>
        <w:t xml:space="preserve">Dealing with Self-Represented Litigants”, </w:t>
      </w:r>
      <w:r w:rsidRPr="00266FD1">
        <w:rPr>
          <w:rFonts w:ascii="Arial" w:hAnsi="Arial" w:cs="Arial"/>
          <w:i/>
          <w:sz w:val="18"/>
          <w:szCs w:val="18"/>
        </w:rPr>
        <w:t>Law Society of Upper Canada</w:t>
      </w:r>
      <w:r>
        <w:rPr>
          <w:rFonts w:ascii="Arial" w:hAnsi="Arial" w:cs="Arial"/>
          <w:sz w:val="18"/>
          <w:szCs w:val="18"/>
        </w:rPr>
        <w:t>, online: &lt;</w:t>
      </w:r>
      <w:hyperlink r:id="rId1" w:history="1">
        <w:r w:rsidRPr="00266FD1">
          <w:rPr>
            <w:rStyle w:val="Hyperlink"/>
            <w:rFonts w:ascii="Arial" w:hAnsi="Arial" w:cs="Arial"/>
            <w:sz w:val="18"/>
            <w:szCs w:val="18"/>
          </w:rPr>
          <w:t>http://www.lsuc.on.ca/with.aspx?id=2147499412</w:t>
        </w:r>
      </w:hyperlink>
      <w:r w:rsidRPr="00266FD1">
        <w:rPr>
          <w:rFonts w:ascii="Arial" w:hAnsi="Arial" w:cs="Arial"/>
          <w:sz w:val="18"/>
          <w:szCs w:val="18"/>
        </w:rPr>
        <w:t xml:space="preserve">&gt;. </w:t>
      </w:r>
    </w:p>
  </w:footnote>
  <w:footnote w:id="8">
    <w:p w14:paraId="7D5B94E0" w14:textId="688115B3" w:rsidR="00100033" w:rsidRDefault="00100033" w:rsidP="00DF22C3">
      <w:pPr>
        <w:pStyle w:val="FootnoteText"/>
      </w:pPr>
      <w:r>
        <w:rPr>
          <w:rStyle w:val="FootnoteReference"/>
        </w:rPr>
        <w:footnoteRef/>
      </w:r>
      <w:r>
        <w:t xml:space="preserve"> </w:t>
      </w:r>
      <w:r>
        <w:rPr>
          <w:rFonts w:ascii="Arial" w:hAnsi="Arial" w:cs="Arial"/>
          <w:sz w:val="18"/>
          <w:szCs w:val="18"/>
        </w:rPr>
        <w:tab/>
      </w:r>
      <w:r w:rsidRPr="00266FD1">
        <w:rPr>
          <w:rFonts w:ascii="Arial" w:hAnsi="Arial" w:cs="Arial"/>
          <w:sz w:val="18"/>
          <w:szCs w:val="18"/>
        </w:rPr>
        <w:t xml:space="preserve">Ted Tjaden, </w:t>
      </w:r>
      <w:r w:rsidRPr="00266FD1">
        <w:rPr>
          <w:rFonts w:ascii="Arial" w:hAnsi="Arial" w:cs="Arial"/>
          <w:i/>
          <w:sz w:val="18"/>
          <w:szCs w:val="18"/>
        </w:rPr>
        <w:t>The Law of Independent Legal Advice</w:t>
      </w:r>
      <w:r w:rsidRPr="00266FD1">
        <w:rPr>
          <w:rFonts w:ascii="Arial" w:hAnsi="Arial" w:cs="Arial"/>
          <w:sz w:val="18"/>
          <w:szCs w:val="18"/>
        </w:rPr>
        <w:t xml:space="preserve"> (Scarborough, ON: Carswell, 2000) at </w:t>
      </w:r>
      <w:r>
        <w:rPr>
          <w:rFonts w:ascii="Arial" w:hAnsi="Arial" w:cs="Arial"/>
          <w:sz w:val="18"/>
          <w:szCs w:val="18"/>
        </w:rPr>
        <w:t>10</w:t>
      </w:r>
      <w:r w:rsidRPr="00266FD1">
        <w:rPr>
          <w:rFonts w:ascii="Arial" w:hAnsi="Arial" w:cs="Arial"/>
          <w:sz w:val="18"/>
          <w:szCs w:val="18"/>
        </w:rPr>
        <w:t>.</w:t>
      </w:r>
    </w:p>
  </w:footnote>
  <w:footnote w:id="9">
    <w:p w14:paraId="3D6B5401" w14:textId="3B2A64CC" w:rsidR="00100033" w:rsidRDefault="00100033" w:rsidP="00DF22C3">
      <w:pPr>
        <w:pStyle w:val="FootnoteText"/>
      </w:pPr>
      <w:r>
        <w:rPr>
          <w:rStyle w:val="FootnoteReference"/>
        </w:rPr>
        <w:footnoteRef/>
      </w:r>
      <w:r>
        <w:t xml:space="preserve"> </w:t>
      </w:r>
      <w:r>
        <w:rPr>
          <w:rFonts w:ascii="Arial" w:hAnsi="Arial" w:cs="Arial"/>
          <w:sz w:val="18"/>
          <w:szCs w:val="18"/>
        </w:rPr>
        <w:tab/>
      </w:r>
      <w:r w:rsidRPr="00F24C1A">
        <w:rPr>
          <w:rFonts w:ascii="Arial" w:hAnsi="Arial" w:cs="Arial"/>
          <w:sz w:val="18"/>
          <w:szCs w:val="18"/>
        </w:rPr>
        <w:t>Christine Jackson, Frank Robinson &amp; Vincent Doré, “Your First Franchise Client” (paper delivered at the Ontario Bar Association</w:t>
      </w:r>
      <w:r>
        <w:rPr>
          <w:rFonts w:ascii="Arial" w:hAnsi="Arial" w:cs="Arial"/>
          <w:sz w:val="18"/>
          <w:szCs w:val="18"/>
        </w:rPr>
        <w:t>’s</w:t>
      </w:r>
      <w:r w:rsidRPr="00F24C1A">
        <w:rPr>
          <w:rFonts w:ascii="Arial" w:hAnsi="Arial" w:cs="Arial"/>
          <w:sz w:val="18"/>
          <w:szCs w:val="18"/>
        </w:rPr>
        <w:t xml:space="preserve"> Your First Franchise Client, 3 February 2016, Toronto) [unpublished] at </w:t>
      </w:r>
      <w:r>
        <w:rPr>
          <w:rFonts w:ascii="Arial" w:hAnsi="Arial" w:cs="Arial"/>
          <w:sz w:val="18"/>
          <w:szCs w:val="18"/>
        </w:rPr>
        <w:t>11-12</w:t>
      </w:r>
      <w:r w:rsidRPr="00F24C1A">
        <w:rPr>
          <w:rFonts w:ascii="Arial" w:hAnsi="Arial" w:cs="Arial"/>
          <w:sz w:val="18"/>
          <w:szCs w:val="18"/>
        </w:rPr>
        <w:t>.</w:t>
      </w:r>
    </w:p>
  </w:footnote>
  <w:footnote w:id="10">
    <w:p w14:paraId="7467C703" w14:textId="12080EFC" w:rsidR="00100033" w:rsidRDefault="00100033" w:rsidP="00DF22C3">
      <w:pPr>
        <w:pStyle w:val="FootnoteText"/>
      </w:pPr>
      <w:r>
        <w:rPr>
          <w:rStyle w:val="FootnoteReference"/>
        </w:rPr>
        <w:footnoteRef/>
      </w:r>
      <w:r>
        <w:t xml:space="preserve"> </w:t>
      </w:r>
      <w:r>
        <w:tab/>
      </w:r>
      <w:r w:rsidRPr="00F24C1A">
        <w:rPr>
          <w:rFonts w:ascii="Arial" w:hAnsi="Arial" w:cs="Arial"/>
          <w:sz w:val="18"/>
          <w:szCs w:val="18"/>
        </w:rPr>
        <w:t>Christine Jackson, Frank Robinson &amp; Vincent Doré, “Your First Franchise Client” (paper delivered at the Ontario Bar Association</w:t>
      </w:r>
      <w:r>
        <w:rPr>
          <w:rFonts w:ascii="Arial" w:hAnsi="Arial" w:cs="Arial"/>
          <w:sz w:val="18"/>
          <w:szCs w:val="18"/>
        </w:rPr>
        <w:t>’s</w:t>
      </w:r>
      <w:r w:rsidRPr="00F24C1A">
        <w:rPr>
          <w:rFonts w:ascii="Arial" w:hAnsi="Arial" w:cs="Arial"/>
          <w:sz w:val="18"/>
          <w:szCs w:val="18"/>
        </w:rPr>
        <w:t xml:space="preserve"> Your First Franchise Client, 3 February 2016, Toronto) [unpublished] at </w:t>
      </w:r>
      <w:r>
        <w:rPr>
          <w:rFonts w:ascii="Arial" w:hAnsi="Arial" w:cs="Arial"/>
          <w:sz w:val="18"/>
          <w:szCs w:val="18"/>
        </w:rPr>
        <w:t>11-12</w:t>
      </w:r>
      <w:r w:rsidRPr="00F24C1A">
        <w:rPr>
          <w:rFonts w:ascii="Arial" w:hAnsi="Arial" w:cs="Arial"/>
          <w:sz w:val="18"/>
          <w:szCs w:val="18"/>
        </w:rPr>
        <w:t>.</w:t>
      </w:r>
    </w:p>
  </w:footnote>
  <w:footnote w:id="11">
    <w:p w14:paraId="4C4AAE42" w14:textId="5A33A1DA" w:rsidR="00100033" w:rsidRDefault="00100033" w:rsidP="00DF22C3">
      <w:pPr>
        <w:pStyle w:val="FootnoteText"/>
      </w:pPr>
      <w:r>
        <w:rPr>
          <w:rStyle w:val="FootnoteReference"/>
        </w:rPr>
        <w:footnoteRef/>
      </w:r>
      <w:r>
        <w:t xml:space="preserve"> </w:t>
      </w:r>
      <w:r>
        <w:tab/>
      </w:r>
      <w:r w:rsidRPr="00F24C1A">
        <w:rPr>
          <w:rFonts w:ascii="Arial" w:hAnsi="Arial" w:cs="Arial"/>
          <w:sz w:val="18"/>
          <w:szCs w:val="18"/>
        </w:rPr>
        <w:t>Christine Jackson, Frank Robinson &amp; Vincent Doré, “Your First Franchise Client” (paper delivered at the Ontario Bar Association</w:t>
      </w:r>
      <w:r>
        <w:rPr>
          <w:rFonts w:ascii="Arial" w:hAnsi="Arial" w:cs="Arial"/>
          <w:sz w:val="18"/>
          <w:szCs w:val="18"/>
        </w:rPr>
        <w:t>’s</w:t>
      </w:r>
      <w:r w:rsidRPr="00F24C1A">
        <w:rPr>
          <w:rFonts w:ascii="Arial" w:hAnsi="Arial" w:cs="Arial"/>
          <w:sz w:val="18"/>
          <w:szCs w:val="18"/>
        </w:rPr>
        <w:t xml:space="preserve"> Your First Franchise Client, 3 February 2016, Toronto) [unpublished] at </w:t>
      </w:r>
      <w:r>
        <w:rPr>
          <w:rFonts w:ascii="Arial" w:hAnsi="Arial" w:cs="Arial"/>
          <w:sz w:val="18"/>
          <w:szCs w:val="18"/>
        </w:rPr>
        <w:t>12</w:t>
      </w:r>
      <w:r w:rsidRPr="00F24C1A">
        <w:rPr>
          <w:rFonts w:ascii="Arial" w:hAnsi="Arial" w:cs="Arial"/>
          <w:sz w:val="18"/>
          <w:szCs w:val="18"/>
        </w:rPr>
        <w:t>.</w:t>
      </w:r>
    </w:p>
  </w:footnote>
  <w:footnote w:id="12">
    <w:p w14:paraId="1503137C" w14:textId="727B8C14" w:rsidR="00100033" w:rsidRDefault="00100033">
      <w:pPr>
        <w:pStyle w:val="FootnoteText"/>
      </w:pPr>
      <w:r>
        <w:rPr>
          <w:rStyle w:val="FootnoteReference"/>
        </w:rPr>
        <w:footnoteRef/>
      </w:r>
      <w:r>
        <w:t xml:space="preserve"> </w:t>
      </w:r>
      <w:r>
        <w:tab/>
      </w:r>
      <w:r w:rsidRPr="00F24C1A">
        <w:rPr>
          <w:rFonts w:ascii="Arial" w:hAnsi="Arial" w:cs="Arial"/>
          <w:sz w:val="18"/>
          <w:szCs w:val="18"/>
        </w:rPr>
        <w:t>Christine Jackson, Frank Robinson &amp; Vincent Doré, “Your First Franchise Client” (paper delivered at the Ontario Bar Association</w:t>
      </w:r>
      <w:r>
        <w:rPr>
          <w:rFonts w:ascii="Arial" w:hAnsi="Arial" w:cs="Arial"/>
          <w:sz w:val="18"/>
          <w:szCs w:val="18"/>
        </w:rPr>
        <w:t>’s</w:t>
      </w:r>
      <w:r w:rsidRPr="00F24C1A">
        <w:rPr>
          <w:rFonts w:ascii="Arial" w:hAnsi="Arial" w:cs="Arial"/>
          <w:sz w:val="18"/>
          <w:szCs w:val="18"/>
        </w:rPr>
        <w:t xml:space="preserve"> Your First Franchise Client, 3 February 2016, Toronto) [unpublished] at </w:t>
      </w:r>
      <w:r>
        <w:rPr>
          <w:rFonts w:ascii="Arial" w:hAnsi="Arial" w:cs="Arial"/>
          <w:sz w:val="18"/>
          <w:szCs w:val="18"/>
        </w:rPr>
        <w:t>12-13.</w:t>
      </w:r>
    </w:p>
  </w:footnote>
  <w:footnote w:id="13">
    <w:p w14:paraId="7CC2AB53" w14:textId="09D50CE7" w:rsidR="00100033" w:rsidRDefault="00100033">
      <w:pPr>
        <w:pStyle w:val="FootnoteText"/>
      </w:pPr>
      <w:r>
        <w:rPr>
          <w:rStyle w:val="FootnoteReference"/>
        </w:rPr>
        <w:footnoteRef/>
      </w:r>
      <w:r>
        <w:t xml:space="preserve"> </w:t>
      </w:r>
      <w:r>
        <w:tab/>
      </w:r>
      <w:r w:rsidRPr="00266FD1">
        <w:rPr>
          <w:rFonts w:ascii="Arial" w:hAnsi="Arial" w:cs="Arial"/>
          <w:sz w:val="18"/>
          <w:szCs w:val="18"/>
        </w:rPr>
        <w:t xml:space="preserve">Ted Tjaden, </w:t>
      </w:r>
      <w:r w:rsidRPr="00266FD1">
        <w:rPr>
          <w:rFonts w:ascii="Arial" w:hAnsi="Arial" w:cs="Arial"/>
          <w:i/>
          <w:sz w:val="18"/>
          <w:szCs w:val="18"/>
        </w:rPr>
        <w:t>The Law of Independent Legal Advice</w:t>
      </w:r>
      <w:r w:rsidRPr="00266FD1">
        <w:rPr>
          <w:rFonts w:ascii="Arial" w:hAnsi="Arial" w:cs="Arial"/>
          <w:sz w:val="18"/>
          <w:szCs w:val="18"/>
        </w:rPr>
        <w:t xml:space="preserve"> (Scarborough, ON: Carswell, 2000) at </w:t>
      </w:r>
      <w:r>
        <w:rPr>
          <w:rFonts w:ascii="Arial" w:hAnsi="Arial" w:cs="Arial"/>
          <w:sz w:val="18"/>
          <w:szCs w:val="18"/>
        </w:rPr>
        <w:t>8</w:t>
      </w:r>
      <w:r w:rsidRPr="00266FD1">
        <w:rPr>
          <w:rFonts w:ascii="Arial" w:hAnsi="Arial" w:cs="Arial"/>
          <w:sz w:val="18"/>
          <w:szCs w:val="18"/>
        </w:rPr>
        <w:t>.</w:t>
      </w:r>
    </w:p>
  </w:footnote>
  <w:footnote w:id="14">
    <w:p w14:paraId="3FF81624" w14:textId="4D5CB230" w:rsidR="00100033" w:rsidRDefault="00100033" w:rsidP="003957F1">
      <w:pPr>
        <w:pStyle w:val="FootnoteText"/>
      </w:pPr>
      <w:r>
        <w:rPr>
          <w:rStyle w:val="FootnoteReference"/>
        </w:rPr>
        <w:footnoteRef/>
      </w:r>
      <w:r>
        <w:t xml:space="preserve"> </w:t>
      </w:r>
      <w:r>
        <w:rPr>
          <w:rFonts w:ascii="Arial" w:hAnsi="Arial" w:cs="Arial"/>
          <w:sz w:val="18"/>
          <w:szCs w:val="18"/>
        </w:rPr>
        <w:tab/>
      </w:r>
      <w:r w:rsidRPr="00266FD1">
        <w:rPr>
          <w:rFonts w:ascii="Arial" w:hAnsi="Arial" w:cs="Arial"/>
          <w:sz w:val="18"/>
          <w:szCs w:val="18"/>
        </w:rPr>
        <w:t xml:space="preserve">Ted Tjaden, </w:t>
      </w:r>
      <w:r w:rsidRPr="00266FD1">
        <w:rPr>
          <w:rFonts w:ascii="Arial" w:hAnsi="Arial" w:cs="Arial"/>
          <w:i/>
          <w:sz w:val="18"/>
          <w:szCs w:val="18"/>
        </w:rPr>
        <w:t>The Law of Independent Legal Advice</w:t>
      </w:r>
      <w:r w:rsidRPr="00266FD1">
        <w:rPr>
          <w:rFonts w:ascii="Arial" w:hAnsi="Arial" w:cs="Arial"/>
          <w:sz w:val="18"/>
          <w:szCs w:val="18"/>
        </w:rPr>
        <w:t xml:space="preserve"> (Scarborough, ON: Carswell, 2000) at </w:t>
      </w:r>
      <w:r>
        <w:rPr>
          <w:rFonts w:ascii="Arial" w:hAnsi="Arial" w:cs="Arial"/>
          <w:sz w:val="18"/>
          <w:szCs w:val="18"/>
        </w:rPr>
        <w:t>8</w:t>
      </w:r>
      <w:r w:rsidRPr="00266FD1">
        <w:rPr>
          <w:rFonts w:ascii="Arial" w:hAnsi="Arial" w:cs="Arial"/>
          <w:sz w:val="18"/>
          <w:szCs w:val="18"/>
        </w:rPr>
        <w:t>.</w:t>
      </w:r>
    </w:p>
  </w:footnote>
  <w:footnote w:id="15">
    <w:p w14:paraId="79F63DA4" w14:textId="77777777" w:rsidR="00E35C8D" w:rsidRPr="00511159" w:rsidRDefault="00E35C8D" w:rsidP="00E35C8D">
      <w:pPr>
        <w:pStyle w:val="FootnoteText"/>
        <w:rPr>
          <w:rFonts w:ascii="Arial" w:hAnsi="Arial" w:cs="Arial"/>
          <w:sz w:val="18"/>
          <w:szCs w:val="18"/>
        </w:rPr>
      </w:pPr>
      <w:r w:rsidRPr="00511159">
        <w:rPr>
          <w:rStyle w:val="FootnoteReference"/>
          <w:rFonts w:ascii="Arial" w:hAnsi="Arial" w:cs="Arial"/>
          <w:sz w:val="18"/>
          <w:szCs w:val="18"/>
        </w:rPr>
        <w:footnoteRef/>
      </w:r>
      <w:r w:rsidRPr="00511159">
        <w:rPr>
          <w:rFonts w:ascii="Arial" w:hAnsi="Arial" w:cs="Arial"/>
          <w:sz w:val="18"/>
          <w:szCs w:val="18"/>
        </w:rPr>
        <w:t xml:space="preserve"> </w:t>
      </w:r>
      <w:r>
        <w:rPr>
          <w:rFonts w:ascii="Arial" w:hAnsi="Arial" w:cs="Arial"/>
          <w:i/>
          <w:sz w:val="18"/>
          <w:szCs w:val="18"/>
        </w:rPr>
        <w:tab/>
      </w:r>
      <w:r w:rsidRPr="00511159">
        <w:rPr>
          <w:rFonts w:ascii="Arial" w:hAnsi="Arial" w:cs="Arial"/>
          <w:i/>
          <w:sz w:val="18"/>
          <w:szCs w:val="18"/>
        </w:rPr>
        <w:t>Arthur Wishart Act (Franchise Disclosure), 2000</w:t>
      </w:r>
      <w:r w:rsidRPr="00511159">
        <w:rPr>
          <w:rFonts w:ascii="Arial" w:hAnsi="Arial" w:cs="Arial"/>
          <w:sz w:val="18"/>
          <w:szCs w:val="18"/>
        </w:rPr>
        <w:t>, SO 2000, c 3, s. 5(7).</w:t>
      </w:r>
    </w:p>
  </w:footnote>
  <w:footnote w:id="16">
    <w:p w14:paraId="1D2D8035" w14:textId="77777777" w:rsidR="00E35C8D" w:rsidRDefault="00E35C8D" w:rsidP="00E35C8D">
      <w:pPr>
        <w:pStyle w:val="FootnoteText"/>
      </w:pPr>
      <w:r w:rsidRPr="00511159">
        <w:rPr>
          <w:rStyle w:val="FootnoteReference"/>
          <w:rFonts w:ascii="Arial" w:hAnsi="Arial" w:cs="Arial"/>
          <w:sz w:val="18"/>
          <w:szCs w:val="18"/>
        </w:rPr>
        <w:footnoteRef/>
      </w:r>
      <w:r w:rsidRPr="00511159">
        <w:rPr>
          <w:rFonts w:ascii="Arial" w:hAnsi="Arial" w:cs="Arial"/>
          <w:sz w:val="18"/>
          <w:szCs w:val="18"/>
        </w:rPr>
        <w:t xml:space="preserve"> </w:t>
      </w:r>
      <w:r>
        <w:rPr>
          <w:rFonts w:ascii="Arial" w:hAnsi="Arial" w:cs="Arial"/>
          <w:i/>
          <w:sz w:val="18"/>
          <w:szCs w:val="18"/>
        </w:rPr>
        <w:tab/>
      </w:r>
      <w:r w:rsidRPr="00511159">
        <w:rPr>
          <w:rFonts w:ascii="Arial" w:hAnsi="Arial" w:cs="Arial"/>
          <w:i/>
          <w:sz w:val="18"/>
          <w:szCs w:val="18"/>
        </w:rPr>
        <w:t>Arthur Wishart Act (Franchise Disclosure), 2000</w:t>
      </w:r>
      <w:r w:rsidRPr="00511159">
        <w:rPr>
          <w:rFonts w:ascii="Arial" w:hAnsi="Arial" w:cs="Arial"/>
          <w:sz w:val="18"/>
          <w:szCs w:val="18"/>
        </w:rPr>
        <w:t>, SO 2000, c 3, s. 5(7).</w:t>
      </w:r>
    </w:p>
  </w:footnote>
  <w:footnote w:id="17">
    <w:p w14:paraId="0335B790" w14:textId="77777777" w:rsidR="00AE634E" w:rsidRPr="00511159" w:rsidRDefault="00AE634E" w:rsidP="00AE634E">
      <w:pPr>
        <w:pStyle w:val="FootnoteText"/>
        <w:rPr>
          <w:rFonts w:ascii="Arial" w:hAnsi="Arial" w:cs="Arial"/>
          <w:sz w:val="18"/>
          <w:szCs w:val="18"/>
        </w:rPr>
      </w:pPr>
      <w:r w:rsidRPr="00511159">
        <w:rPr>
          <w:rStyle w:val="FootnoteReference"/>
          <w:rFonts w:ascii="Arial" w:hAnsi="Arial" w:cs="Arial"/>
          <w:sz w:val="18"/>
          <w:szCs w:val="18"/>
        </w:rPr>
        <w:footnoteRef/>
      </w:r>
      <w:r w:rsidRPr="00511159">
        <w:rPr>
          <w:rFonts w:ascii="Arial" w:hAnsi="Arial" w:cs="Arial"/>
          <w:sz w:val="18"/>
          <w:szCs w:val="18"/>
        </w:rPr>
        <w:t xml:space="preserve"> </w:t>
      </w:r>
      <w:r>
        <w:rPr>
          <w:rFonts w:ascii="Arial" w:hAnsi="Arial" w:cs="Arial"/>
          <w:i/>
          <w:sz w:val="18"/>
          <w:szCs w:val="18"/>
        </w:rPr>
        <w:tab/>
      </w:r>
      <w:r w:rsidRPr="00511159">
        <w:rPr>
          <w:rFonts w:ascii="Arial" w:hAnsi="Arial" w:cs="Arial"/>
          <w:i/>
          <w:sz w:val="18"/>
          <w:szCs w:val="18"/>
        </w:rPr>
        <w:t>MAA Diners Inc v 3 for 1 Pizza &amp; Wings (Canada) Inc</w:t>
      </w:r>
      <w:r w:rsidRPr="00511159">
        <w:rPr>
          <w:rFonts w:ascii="Arial" w:hAnsi="Arial" w:cs="Arial"/>
          <w:sz w:val="18"/>
          <w:szCs w:val="18"/>
        </w:rPr>
        <w:t>, [2003] O.J. No. 430</w:t>
      </w:r>
      <w:r>
        <w:rPr>
          <w:rFonts w:ascii="Arial" w:hAnsi="Arial" w:cs="Arial"/>
          <w:sz w:val="18"/>
          <w:szCs w:val="18"/>
        </w:rPr>
        <w:t xml:space="preserve"> at para 29</w:t>
      </w:r>
      <w:r w:rsidRPr="00511159">
        <w:rPr>
          <w:rFonts w:ascii="Arial" w:hAnsi="Arial" w:cs="Arial"/>
          <w:sz w:val="18"/>
          <w:szCs w:val="18"/>
        </w:rPr>
        <w:t>; 120 A.C.W.S. (3d) 433</w:t>
      </w:r>
      <w:r>
        <w:rPr>
          <w:rFonts w:ascii="Arial" w:hAnsi="Arial" w:cs="Arial"/>
          <w:sz w:val="18"/>
          <w:szCs w:val="18"/>
        </w:rPr>
        <w:t xml:space="preserve"> (“MAA Diners”</w:t>
      </w:r>
      <w:r w:rsidRPr="00511159">
        <w:rPr>
          <w:rFonts w:ascii="Arial" w:hAnsi="Arial" w:cs="Arial"/>
          <w:sz w:val="18"/>
          <w:szCs w:val="18"/>
        </w:rPr>
        <w:t>.</w:t>
      </w:r>
    </w:p>
  </w:footnote>
  <w:footnote w:id="18">
    <w:p w14:paraId="2A07C376" w14:textId="77777777" w:rsidR="007A5FCB" w:rsidRPr="00E1298C" w:rsidRDefault="007A5FCB" w:rsidP="007A5FCB">
      <w:pPr>
        <w:pStyle w:val="FootnoteText"/>
        <w:rPr>
          <w:rFonts w:ascii="Arial" w:hAnsi="Arial" w:cs="Arial"/>
          <w:sz w:val="18"/>
          <w:szCs w:val="18"/>
        </w:rPr>
      </w:pPr>
      <w:r w:rsidRPr="00E1298C">
        <w:rPr>
          <w:rStyle w:val="FootnoteReference"/>
          <w:rFonts w:ascii="Arial" w:hAnsi="Arial" w:cs="Arial"/>
          <w:sz w:val="18"/>
          <w:szCs w:val="18"/>
        </w:rPr>
        <w:footnoteRef/>
      </w:r>
      <w:r w:rsidRPr="00E1298C">
        <w:rPr>
          <w:rFonts w:ascii="Arial" w:hAnsi="Arial" w:cs="Arial"/>
          <w:sz w:val="18"/>
          <w:szCs w:val="18"/>
        </w:rPr>
        <w:t xml:space="preserve"> </w:t>
      </w:r>
      <w:r w:rsidRPr="00E1298C">
        <w:rPr>
          <w:rFonts w:ascii="Arial" w:hAnsi="Arial" w:cs="Arial"/>
          <w:i/>
          <w:sz w:val="18"/>
          <w:szCs w:val="18"/>
        </w:rPr>
        <w:tab/>
        <w:t>1518628 Ontario Inc v Tutor Time Learning Centres, LLC</w:t>
      </w:r>
      <w:r w:rsidRPr="00E1298C">
        <w:rPr>
          <w:rFonts w:ascii="Arial" w:hAnsi="Arial" w:cs="Arial"/>
          <w:sz w:val="18"/>
          <w:szCs w:val="18"/>
        </w:rPr>
        <w:t>, [2006] O.J. No. 3011 at paras 44-50; [2006] O.J. No. 3011 (“Tutor Time”).</w:t>
      </w:r>
    </w:p>
  </w:footnote>
  <w:footnote w:id="19">
    <w:p w14:paraId="0C8775AB" w14:textId="77777777" w:rsidR="007A5FCB" w:rsidRPr="00E1298C" w:rsidRDefault="007A5FCB" w:rsidP="007A5FCB">
      <w:pPr>
        <w:pStyle w:val="FootnoteText"/>
        <w:rPr>
          <w:rFonts w:ascii="Arial" w:hAnsi="Arial" w:cs="Arial"/>
          <w:sz w:val="18"/>
          <w:szCs w:val="18"/>
        </w:rPr>
      </w:pPr>
      <w:r w:rsidRPr="00E1298C">
        <w:rPr>
          <w:rStyle w:val="FootnoteReference"/>
          <w:rFonts w:ascii="Arial" w:hAnsi="Arial" w:cs="Arial"/>
          <w:sz w:val="18"/>
          <w:szCs w:val="18"/>
        </w:rPr>
        <w:footnoteRef/>
      </w:r>
      <w:r w:rsidRPr="00E1298C">
        <w:rPr>
          <w:rFonts w:ascii="Arial" w:hAnsi="Arial" w:cs="Arial"/>
          <w:i/>
          <w:sz w:val="18"/>
          <w:szCs w:val="18"/>
        </w:rPr>
        <w:t xml:space="preserve"> </w:t>
      </w:r>
      <w:r w:rsidRPr="00E1298C">
        <w:rPr>
          <w:rFonts w:ascii="Arial" w:hAnsi="Arial" w:cs="Arial"/>
          <w:i/>
          <w:sz w:val="18"/>
          <w:szCs w:val="18"/>
        </w:rPr>
        <w:tab/>
        <w:t>Brister v 2145128 Ontario Inc</w:t>
      </w:r>
      <w:r w:rsidRPr="00E1298C">
        <w:rPr>
          <w:rFonts w:ascii="Arial" w:hAnsi="Arial" w:cs="Arial"/>
          <w:sz w:val="18"/>
          <w:szCs w:val="18"/>
        </w:rPr>
        <w:t xml:space="preserve">, 2014 ONSC 6714 at paras 13-16, 247 A.C.W.S. (3d) 563 (“Brister”). </w:t>
      </w:r>
    </w:p>
  </w:footnote>
  <w:footnote w:id="20">
    <w:p w14:paraId="1788BFE1" w14:textId="7B8F2115" w:rsidR="009A1EF6" w:rsidRPr="00E1298C" w:rsidRDefault="009A1EF6">
      <w:pPr>
        <w:pStyle w:val="FootnoteText"/>
        <w:rPr>
          <w:rFonts w:ascii="Arial" w:hAnsi="Arial" w:cs="Arial"/>
          <w:sz w:val="18"/>
          <w:szCs w:val="18"/>
        </w:rPr>
      </w:pPr>
      <w:r w:rsidRPr="00E1298C">
        <w:rPr>
          <w:rStyle w:val="FootnoteReference"/>
          <w:rFonts w:ascii="Arial" w:hAnsi="Arial" w:cs="Arial"/>
          <w:sz w:val="18"/>
          <w:szCs w:val="18"/>
        </w:rPr>
        <w:footnoteRef/>
      </w:r>
      <w:r w:rsidRPr="00E1298C">
        <w:rPr>
          <w:rFonts w:ascii="Arial" w:hAnsi="Arial" w:cs="Arial"/>
          <w:sz w:val="18"/>
          <w:szCs w:val="18"/>
        </w:rPr>
        <w:t xml:space="preserve"> </w:t>
      </w:r>
      <w:r w:rsidRPr="00E1298C">
        <w:rPr>
          <w:rFonts w:ascii="Arial" w:hAnsi="Arial" w:cs="Arial"/>
          <w:sz w:val="18"/>
          <w:szCs w:val="18"/>
        </w:rPr>
        <w:tab/>
      </w:r>
      <w:r w:rsidRPr="00E1298C">
        <w:rPr>
          <w:rFonts w:ascii="Arial" w:hAnsi="Arial" w:cs="Arial"/>
          <w:i/>
          <w:sz w:val="18"/>
          <w:szCs w:val="18"/>
        </w:rPr>
        <w:t>2189205 Ontario Inc v Springdale Pizza Depot Ltd</w:t>
      </w:r>
      <w:r w:rsidRPr="00E1298C">
        <w:rPr>
          <w:rFonts w:ascii="Arial" w:hAnsi="Arial" w:cs="Arial"/>
          <w:sz w:val="18"/>
          <w:szCs w:val="18"/>
        </w:rPr>
        <w:t>, 2011 ONCA 467 (CanLII) (“Springdale”)</w:t>
      </w:r>
    </w:p>
  </w:footnote>
  <w:footnote w:id="21">
    <w:p w14:paraId="0310CC3E" w14:textId="77777777" w:rsidR="009C6C5D" w:rsidRPr="00E1298C" w:rsidRDefault="009C6C5D" w:rsidP="009C6C5D">
      <w:pPr>
        <w:pStyle w:val="FootnoteText"/>
        <w:rPr>
          <w:rFonts w:ascii="Arial" w:hAnsi="Arial" w:cs="Arial"/>
          <w:sz w:val="18"/>
          <w:szCs w:val="18"/>
        </w:rPr>
      </w:pPr>
      <w:r w:rsidRPr="00E1298C">
        <w:rPr>
          <w:rStyle w:val="FootnoteReference"/>
          <w:rFonts w:ascii="Arial" w:hAnsi="Arial" w:cs="Arial"/>
          <w:sz w:val="18"/>
          <w:szCs w:val="18"/>
        </w:rPr>
        <w:footnoteRef/>
      </w:r>
      <w:r w:rsidRPr="00E1298C">
        <w:rPr>
          <w:rFonts w:ascii="Arial" w:hAnsi="Arial" w:cs="Arial"/>
          <w:sz w:val="18"/>
          <w:szCs w:val="18"/>
        </w:rPr>
        <w:t xml:space="preserve"> </w:t>
      </w:r>
      <w:r w:rsidRPr="00E1298C">
        <w:rPr>
          <w:rFonts w:ascii="Arial" w:hAnsi="Arial" w:cs="Arial"/>
          <w:i/>
          <w:sz w:val="18"/>
          <w:szCs w:val="18"/>
        </w:rPr>
        <w:tab/>
        <w:t>MEDIchair LP v DME Medequip Inc</w:t>
      </w:r>
      <w:r w:rsidRPr="00E1298C">
        <w:rPr>
          <w:rFonts w:ascii="Arial" w:hAnsi="Arial" w:cs="Arial"/>
          <w:sz w:val="18"/>
          <w:szCs w:val="18"/>
        </w:rPr>
        <w:t>, 2016 ONCA 168 at paras 24-27, [2016] O.J. No. 1028 (“MEDIchair”).</w:t>
      </w:r>
    </w:p>
  </w:footnote>
  <w:footnote w:id="22">
    <w:p w14:paraId="36780B04" w14:textId="77777777" w:rsidR="009C6C5D" w:rsidRDefault="009C6C5D" w:rsidP="009C6C5D">
      <w:pPr>
        <w:pStyle w:val="FootnoteText"/>
      </w:pPr>
      <w:r w:rsidRPr="00E1298C">
        <w:rPr>
          <w:rStyle w:val="FootnoteReference"/>
          <w:rFonts w:ascii="Arial" w:hAnsi="Arial" w:cs="Arial"/>
          <w:sz w:val="18"/>
          <w:szCs w:val="18"/>
        </w:rPr>
        <w:footnoteRef/>
      </w:r>
      <w:r w:rsidRPr="00E1298C">
        <w:rPr>
          <w:rFonts w:ascii="Arial" w:hAnsi="Arial" w:cs="Arial"/>
          <w:i/>
          <w:sz w:val="18"/>
          <w:szCs w:val="18"/>
        </w:rPr>
        <w:t xml:space="preserve"> </w:t>
      </w:r>
      <w:r w:rsidRPr="00E1298C">
        <w:rPr>
          <w:rFonts w:ascii="Arial" w:hAnsi="Arial" w:cs="Arial"/>
          <w:i/>
          <w:sz w:val="18"/>
          <w:szCs w:val="18"/>
        </w:rPr>
        <w:tab/>
        <w:t>MEDIchair LP v DME Medequip Inc</w:t>
      </w:r>
      <w:r w:rsidRPr="00E1298C">
        <w:rPr>
          <w:rFonts w:ascii="Arial" w:hAnsi="Arial" w:cs="Arial"/>
          <w:sz w:val="18"/>
          <w:szCs w:val="18"/>
        </w:rPr>
        <w:t>, 2015 ONSC 3718 at para 12, 257 A.C.W.S. (3d) 104.</w:t>
      </w:r>
    </w:p>
  </w:footnote>
  <w:footnote w:id="23">
    <w:p w14:paraId="6EB3CC49" w14:textId="5109A831" w:rsidR="00100033" w:rsidRPr="00E1298C" w:rsidRDefault="00100033" w:rsidP="000C12C8">
      <w:pPr>
        <w:pStyle w:val="FootnoteText"/>
        <w:rPr>
          <w:rFonts w:ascii="Arial" w:hAnsi="Arial" w:cs="Arial"/>
          <w:sz w:val="18"/>
          <w:szCs w:val="18"/>
        </w:rPr>
      </w:pPr>
      <w:r w:rsidRPr="00E1298C">
        <w:rPr>
          <w:rStyle w:val="FootnoteReference"/>
          <w:rFonts w:ascii="Arial" w:hAnsi="Arial" w:cs="Arial"/>
          <w:sz w:val="18"/>
          <w:szCs w:val="18"/>
        </w:rPr>
        <w:footnoteRef/>
      </w:r>
      <w:r w:rsidRPr="00E1298C">
        <w:rPr>
          <w:rFonts w:ascii="Arial" w:hAnsi="Arial" w:cs="Arial"/>
          <w:sz w:val="18"/>
          <w:szCs w:val="18"/>
        </w:rPr>
        <w:t xml:space="preserve"> </w:t>
      </w:r>
      <w:r w:rsidRPr="00E1298C">
        <w:rPr>
          <w:rFonts w:ascii="Arial" w:hAnsi="Arial" w:cs="Arial"/>
          <w:sz w:val="18"/>
          <w:szCs w:val="18"/>
        </w:rPr>
        <w:tab/>
        <w:t>Christine Jackson &amp; Andrae Marrocco, “The Purchase and Sale of Franchises and Franchise Systems” (paper delivered at the Ontario Bar Association’s 16</w:t>
      </w:r>
      <w:r w:rsidRPr="00E1298C">
        <w:rPr>
          <w:rFonts w:ascii="Arial" w:hAnsi="Arial" w:cs="Arial"/>
          <w:sz w:val="18"/>
          <w:szCs w:val="18"/>
          <w:vertAlign w:val="superscript"/>
        </w:rPr>
        <w:t>th</w:t>
      </w:r>
      <w:r w:rsidRPr="00E1298C">
        <w:rPr>
          <w:rFonts w:ascii="Arial" w:hAnsi="Arial" w:cs="Arial"/>
          <w:sz w:val="18"/>
          <w:szCs w:val="18"/>
        </w:rPr>
        <w:t xml:space="preserve"> Annual Franchise Law Conference, Toronto, 17 November 2016) [unpublished] at 4. </w:t>
      </w:r>
    </w:p>
  </w:footnote>
  <w:footnote w:id="24">
    <w:p w14:paraId="4187F56D" w14:textId="278C7E07" w:rsidR="00B62C31" w:rsidRPr="00E1298C" w:rsidRDefault="00B62C31">
      <w:pPr>
        <w:pStyle w:val="FootnoteText"/>
        <w:rPr>
          <w:rFonts w:ascii="Arial" w:hAnsi="Arial" w:cs="Arial"/>
          <w:sz w:val="18"/>
          <w:szCs w:val="18"/>
        </w:rPr>
      </w:pPr>
      <w:r w:rsidRPr="00E1298C">
        <w:rPr>
          <w:rStyle w:val="FootnoteReference"/>
          <w:rFonts w:ascii="Arial" w:hAnsi="Arial" w:cs="Arial"/>
          <w:sz w:val="18"/>
          <w:szCs w:val="18"/>
        </w:rPr>
        <w:footnoteRef/>
      </w:r>
      <w:r w:rsidRPr="00E1298C">
        <w:rPr>
          <w:rFonts w:ascii="Arial" w:hAnsi="Arial" w:cs="Arial"/>
          <w:sz w:val="18"/>
          <w:szCs w:val="18"/>
        </w:rPr>
        <w:t xml:space="preserve">  </w:t>
      </w:r>
      <w:r w:rsidRPr="00E1298C">
        <w:rPr>
          <w:rFonts w:ascii="Arial" w:hAnsi="Arial" w:cs="Arial"/>
          <w:sz w:val="18"/>
          <w:szCs w:val="18"/>
        </w:rPr>
        <w:tab/>
        <w:t>See</w:t>
      </w:r>
      <w:r w:rsidRPr="00E1298C">
        <w:rPr>
          <w:rFonts w:ascii="Arial" w:hAnsi="Arial" w:cs="Arial"/>
          <w:b/>
          <w:i/>
          <w:sz w:val="18"/>
          <w:szCs w:val="18"/>
        </w:rPr>
        <w:t xml:space="preserve"> Providing Independent Legal Advice on </w:t>
      </w:r>
      <w:r w:rsidR="00505FF5">
        <w:rPr>
          <w:rFonts w:ascii="Arial" w:hAnsi="Arial" w:cs="Arial"/>
          <w:b/>
          <w:i/>
          <w:sz w:val="18"/>
          <w:szCs w:val="18"/>
        </w:rPr>
        <w:t>Franchisee resale</w:t>
      </w:r>
      <w:r w:rsidRPr="00E1298C">
        <w:rPr>
          <w:rFonts w:ascii="Arial" w:hAnsi="Arial" w:cs="Arial"/>
          <w:b/>
          <w:i/>
          <w:sz w:val="18"/>
          <w:szCs w:val="18"/>
        </w:rPr>
        <w:t>s</w:t>
      </w:r>
      <w:r w:rsidRPr="00E1298C">
        <w:rPr>
          <w:rFonts w:ascii="Arial" w:hAnsi="Arial" w:cs="Arial"/>
          <w:sz w:val="18"/>
          <w:szCs w:val="18"/>
        </w:rPr>
        <w:t xml:space="preserve"> above for a discussion of key provisions to review.</w:t>
      </w:r>
    </w:p>
  </w:footnote>
  <w:footnote w:id="25">
    <w:p w14:paraId="4D3A3B38" w14:textId="7A862EEC" w:rsidR="00100033" w:rsidRPr="00E1298C" w:rsidRDefault="00100033">
      <w:pPr>
        <w:pStyle w:val="FootnoteText"/>
        <w:rPr>
          <w:rFonts w:ascii="Arial" w:hAnsi="Arial" w:cs="Arial"/>
          <w:sz w:val="18"/>
          <w:szCs w:val="18"/>
        </w:rPr>
      </w:pPr>
      <w:r w:rsidRPr="00E1298C">
        <w:rPr>
          <w:rStyle w:val="FootnoteReference"/>
          <w:rFonts w:ascii="Arial" w:hAnsi="Arial" w:cs="Arial"/>
          <w:sz w:val="18"/>
          <w:szCs w:val="18"/>
        </w:rPr>
        <w:footnoteRef/>
      </w:r>
      <w:r w:rsidRPr="00E1298C">
        <w:rPr>
          <w:rFonts w:ascii="Arial" w:hAnsi="Arial" w:cs="Arial"/>
          <w:sz w:val="18"/>
          <w:szCs w:val="18"/>
        </w:rPr>
        <w:t xml:space="preserve"> </w:t>
      </w:r>
      <w:r w:rsidRPr="00E1298C">
        <w:rPr>
          <w:rFonts w:ascii="Arial" w:hAnsi="Arial" w:cs="Arial"/>
          <w:sz w:val="18"/>
          <w:szCs w:val="18"/>
        </w:rPr>
        <w:tab/>
        <w:t>Christine Jackson &amp; Andrae Marrocco, “The Purchase and Sale of Franchises and Franchise Systems” (paper delivered at the Ontario Bar Association’s 16</w:t>
      </w:r>
      <w:r w:rsidRPr="00E1298C">
        <w:rPr>
          <w:rFonts w:ascii="Arial" w:hAnsi="Arial" w:cs="Arial"/>
          <w:sz w:val="18"/>
          <w:szCs w:val="18"/>
          <w:vertAlign w:val="superscript"/>
        </w:rPr>
        <w:t>th</w:t>
      </w:r>
      <w:r w:rsidRPr="00E1298C">
        <w:rPr>
          <w:rFonts w:ascii="Arial" w:hAnsi="Arial" w:cs="Arial"/>
          <w:sz w:val="18"/>
          <w:szCs w:val="18"/>
        </w:rPr>
        <w:t xml:space="preserve"> Annual Franchise Law Conference, Toronto, 17 November 2016) [unpublished] at 9.</w:t>
      </w:r>
    </w:p>
  </w:footnote>
  <w:footnote w:id="26">
    <w:p w14:paraId="5A274983" w14:textId="08C30CBF" w:rsidR="00100033" w:rsidRPr="007D6A51" w:rsidRDefault="00100033" w:rsidP="00FA24E1">
      <w:pPr>
        <w:pStyle w:val="FootnoteText"/>
        <w:rPr>
          <w:rFonts w:ascii="Arial" w:hAnsi="Arial" w:cs="Arial"/>
          <w:sz w:val="18"/>
          <w:szCs w:val="18"/>
        </w:rPr>
      </w:pPr>
      <w:r w:rsidRPr="00E1298C">
        <w:rPr>
          <w:rStyle w:val="FootnoteReference"/>
          <w:rFonts w:ascii="Arial" w:hAnsi="Arial" w:cs="Arial"/>
          <w:sz w:val="18"/>
          <w:szCs w:val="18"/>
        </w:rPr>
        <w:footnoteRef/>
      </w:r>
      <w:r w:rsidRPr="00E1298C">
        <w:rPr>
          <w:rFonts w:ascii="Arial" w:hAnsi="Arial" w:cs="Arial"/>
          <w:sz w:val="18"/>
          <w:szCs w:val="18"/>
        </w:rPr>
        <w:t xml:space="preserve"> </w:t>
      </w:r>
      <w:r w:rsidRPr="00E1298C">
        <w:rPr>
          <w:rFonts w:ascii="Arial" w:hAnsi="Arial" w:cs="Arial"/>
          <w:sz w:val="18"/>
          <w:szCs w:val="18"/>
        </w:rPr>
        <w:tab/>
        <w:t>Christine Jackson &amp; Andrae Marrocco, “The Purchase and Sale of Franchises and Franchise Systems” (paper delivered at the Ontario Bar Association’s 16</w:t>
      </w:r>
      <w:r w:rsidRPr="00E1298C">
        <w:rPr>
          <w:rFonts w:ascii="Arial" w:hAnsi="Arial" w:cs="Arial"/>
          <w:sz w:val="18"/>
          <w:szCs w:val="18"/>
          <w:vertAlign w:val="superscript"/>
        </w:rPr>
        <w:t>th</w:t>
      </w:r>
      <w:r w:rsidRPr="00E1298C">
        <w:rPr>
          <w:rFonts w:ascii="Arial" w:hAnsi="Arial" w:cs="Arial"/>
          <w:sz w:val="18"/>
          <w:szCs w:val="18"/>
        </w:rPr>
        <w:t xml:space="preserve"> Annual Franchise Law Conference, Toronto, 17 November 2016) [unpublished] at 10.</w:t>
      </w:r>
    </w:p>
  </w:footnote>
  <w:footnote w:id="27">
    <w:p w14:paraId="0992D25C" w14:textId="05EA518C" w:rsidR="00192459" w:rsidRDefault="00192459">
      <w:pPr>
        <w:pStyle w:val="FootnoteText"/>
      </w:pPr>
      <w:r>
        <w:rPr>
          <w:rStyle w:val="FootnoteReference"/>
        </w:rPr>
        <w:footnoteRef/>
      </w:r>
      <w:r>
        <w:t xml:space="preserve">  </w:t>
      </w:r>
      <w:r>
        <w:tab/>
      </w:r>
      <w:r w:rsidRPr="00192459">
        <w:rPr>
          <w:rFonts w:ascii="Arial" w:hAnsi="Arial" w:cs="Arial"/>
          <w:sz w:val="18"/>
          <w:szCs w:val="18"/>
        </w:rPr>
        <w:t>While unique franchise considerations apply in the context of drafting a share purchase agreement</w:t>
      </w:r>
      <w:r w:rsidR="00662A61">
        <w:rPr>
          <w:rFonts w:ascii="Arial" w:hAnsi="Arial" w:cs="Arial"/>
          <w:sz w:val="18"/>
          <w:szCs w:val="18"/>
        </w:rPr>
        <w:t xml:space="preserve"> for a franchise unit resale</w:t>
      </w:r>
      <w:r w:rsidRPr="00192459">
        <w:rPr>
          <w:rFonts w:ascii="Arial" w:hAnsi="Arial" w:cs="Arial"/>
          <w:sz w:val="18"/>
          <w:szCs w:val="18"/>
        </w:rPr>
        <w:t>, for the purposes of this section our comments are limited to the preparation of an asset purchase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27722" w14:textId="77777777" w:rsidR="00100033" w:rsidRDefault="00100033">
    <w:pPr>
      <w:pStyle w:val="Header"/>
    </w:pPr>
  </w:p>
  <w:p w14:paraId="22F11969" w14:textId="77777777" w:rsidR="00100033" w:rsidRDefault="001000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00236" w14:textId="77777777" w:rsidR="00100033" w:rsidRDefault="00100033">
    <w:pPr>
      <w:pStyle w:val="Header"/>
      <w:jc w:val="center"/>
      <w:rPr>
        <w:rStyle w:val="PageNumber"/>
      </w:rPr>
    </w:pP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0ADBA" w14:textId="77777777" w:rsidR="00100033" w:rsidRDefault="0010003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7C2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0C2A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D85D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8CDF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3625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CFF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A625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E0DF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68A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2249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E7D32"/>
    <w:multiLevelType w:val="hybridMultilevel"/>
    <w:tmpl w:val="66F65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80674A3"/>
    <w:multiLevelType w:val="hybridMultilevel"/>
    <w:tmpl w:val="B35A1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81128DB"/>
    <w:multiLevelType w:val="hybridMultilevel"/>
    <w:tmpl w:val="0A06CA0C"/>
    <w:lvl w:ilvl="0" w:tplc="42E4B108">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0CDA4013"/>
    <w:multiLevelType w:val="hybridMultilevel"/>
    <w:tmpl w:val="D55016B0"/>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15:restartNumberingAfterBreak="0">
    <w:nsid w:val="10C874B8"/>
    <w:multiLevelType w:val="hybridMultilevel"/>
    <w:tmpl w:val="1868B6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186459A0"/>
    <w:multiLevelType w:val="hybridMultilevel"/>
    <w:tmpl w:val="E252F14A"/>
    <w:lvl w:ilvl="0" w:tplc="CC64AD38">
      <w:start w:val="1"/>
      <w:numFmt w:val="lowerRoman"/>
      <w:lvlText w:val="(%1)"/>
      <w:lvlJc w:val="left"/>
      <w:pPr>
        <w:ind w:left="2160" w:hanging="360"/>
      </w:pPr>
      <w:rPr>
        <w:rFonts w:hint="default"/>
      </w:rPr>
    </w:lvl>
    <w:lvl w:ilvl="1" w:tplc="CC64AD38">
      <w:start w:val="1"/>
      <w:numFmt w:val="lowerRoman"/>
      <w:lvlText w:val="(%2)"/>
      <w:lvlJc w:val="left"/>
      <w:pPr>
        <w:ind w:left="2880" w:hanging="360"/>
      </w:pPr>
      <w:rPr>
        <w:rFonts w:hint="default"/>
      </w:r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15:restartNumberingAfterBreak="0">
    <w:nsid w:val="25A96B9F"/>
    <w:multiLevelType w:val="hybridMultilevel"/>
    <w:tmpl w:val="47D877D8"/>
    <w:lvl w:ilvl="0" w:tplc="AB82093A">
      <w:start w:val="1"/>
      <w:numFmt w:val="lowerLetter"/>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28FB6222"/>
    <w:multiLevelType w:val="hybridMultilevel"/>
    <w:tmpl w:val="F8BAA58C"/>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8" w15:restartNumberingAfterBreak="0">
    <w:nsid w:val="3E9F15AF"/>
    <w:multiLevelType w:val="hybridMultilevel"/>
    <w:tmpl w:val="0C92BE08"/>
    <w:lvl w:ilvl="0" w:tplc="770EF516">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43FA0E02"/>
    <w:multiLevelType w:val="hybridMultilevel"/>
    <w:tmpl w:val="481CB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761CFA"/>
    <w:multiLevelType w:val="hybridMultilevel"/>
    <w:tmpl w:val="C0EA624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15:restartNumberingAfterBreak="0">
    <w:nsid w:val="556F4E62"/>
    <w:multiLevelType w:val="hybridMultilevel"/>
    <w:tmpl w:val="A2AE6B6A"/>
    <w:lvl w:ilvl="0" w:tplc="10090017">
      <w:start w:val="1"/>
      <w:numFmt w:val="lowerLetter"/>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2" w15:restartNumberingAfterBreak="0">
    <w:nsid w:val="5A1948DE"/>
    <w:multiLevelType w:val="hybridMultilevel"/>
    <w:tmpl w:val="7A020020"/>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3" w15:restartNumberingAfterBreak="0">
    <w:nsid w:val="5CF03466"/>
    <w:multiLevelType w:val="hybridMultilevel"/>
    <w:tmpl w:val="4B205D28"/>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4" w15:restartNumberingAfterBreak="0">
    <w:nsid w:val="5D7357FB"/>
    <w:multiLevelType w:val="multilevel"/>
    <w:tmpl w:val="E59AC770"/>
    <w:name w:val="zzmpArticle||Article|2|4|1|0|2|41||1|0|33||1|0|32||1|0|32||1|0|32||1|0|32||1|0|32||1|0|32||1|0|32||"/>
    <w:lvl w:ilvl="0">
      <w:start w:val="1"/>
      <w:numFmt w:val="decimal"/>
      <w:pStyle w:val="ArticleL1"/>
      <w:suff w:val="nothing"/>
      <w:lvlText w:val="Article %1 – "/>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ArticleL2"/>
      <w:lvlText w:val="%1.%2"/>
      <w:lvlJc w:val="left"/>
      <w:pPr>
        <w:tabs>
          <w:tab w:val="num" w:pos="720"/>
        </w:tabs>
        <w:ind w:left="720" w:hanging="720"/>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1440"/>
        </w:tabs>
        <w:ind w:left="1440" w:hanging="720"/>
      </w:pPr>
      <w:rPr>
        <w:rFonts w:ascii="Times New Roman" w:hAnsi="Times New Roman" w:cs="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160"/>
        </w:tabs>
        <w:ind w:left="2160" w:hanging="720"/>
      </w:pPr>
      <w:rPr>
        <w:rFonts w:ascii="Times New Roman" w:hAnsi="Times New Roman" w:cs="Times New Roman"/>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2880"/>
        </w:tabs>
        <w:ind w:left="2880" w:hanging="720"/>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3600"/>
        </w:tabs>
        <w:ind w:left="3600" w:hanging="720"/>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L7"/>
      <w:lvlText w:val="%7."/>
      <w:lvlJc w:val="left"/>
      <w:pPr>
        <w:tabs>
          <w:tab w:val="num" w:pos="4320"/>
        </w:tabs>
        <w:ind w:left="4320" w:hanging="720"/>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ArticleL8"/>
      <w:lvlText w:val="%8."/>
      <w:lvlJc w:val="left"/>
      <w:pPr>
        <w:tabs>
          <w:tab w:val="num" w:pos="5040"/>
        </w:tabs>
        <w:ind w:left="5040" w:hanging="720"/>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lvlText w:val="%9."/>
      <w:lvlJc w:val="left"/>
      <w:pPr>
        <w:tabs>
          <w:tab w:val="num" w:pos="5760"/>
        </w:tabs>
        <w:ind w:left="5760" w:hanging="720"/>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FFE66D0"/>
    <w:multiLevelType w:val="hybridMultilevel"/>
    <w:tmpl w:val="3270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0B5851"/>
    <w:multiLevelType w:val="hybridMultilevel"/>
    <w:tmpl w:val="CCF21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A69791E"/>
    <w:multiLevelType w:val="hybridMultilevel"/>
    <w:tmpl w:val="A8707CBE"/>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8" w15:restartNumberingAfterBreak="0">
    <w:nsid w:val="6DEC34E6"/>
    <w:multiLevelType w:val="hybridMultilevel"/>
    <w:tmpl w:val="244E15D2"/>
    <w:lvl w:ilvl="0" w:tplc="10090017">
      <w:start w:val="1"/>
      <w:numFmt w:val="lowerLetter"/>
      <w:lvlText w:val="%1)"/>
      <w:lvlJc w:val="left"/>
      <w:pPr>
        <w:ind w:left="2160" w:hanging="360"/>
      </w:pPr>
    </w:lvl>
    <w:lvl w:ilvl="1" w:tplc="CC64AD38">
      <w:start w:val="1"/>
      <w:numFmt w:val="lowerRoman"/>
      <w:lvlText w:val="(%2)"/>
      <w:lvlJc w:val="left"/>
      <w:pPr>
        <w:ind w:left="2880" w:hanging="360"/>
      </w:pPr>
      <w:rPr>
        <w:rFonts w:hint="default"/>
      </w:r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9" w15:restartNumberingAfterBreak="0">
    <w:nsid w:val="6FA31C54"/>
    <w:multiLevelType w:val="hybridMultilevel"/>
    <w:tmpl w:val="F544F7D2"/>
    <w:lvl w:ilvl="0" w:tplc="10090017">
      <w:start w:val="1"/>
      <w:numFmt w:val="lowerLetter"/>
      <w:lvlText w:val="%1)"/>
      <w:lvlJc w:val="left"/>
      <w:pPr>
        <w:ind w:left="2160" w:hanging="360"/>
      </w:pPr>
    </w:lvl>
    <w:lvl w:ilvl="1" w:tplc="10090013">
      <w:start w:val="1"/>
      <w:numFmt w:val="upperRoman"/>
      <w:lvlText w:val="%2."/>
      <w:lvlJc w:val="righ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0" w15:restartNumberingAfterBreak="0">
    <w:nsid w:val="744A0757"/>
    <w:multiLevelType w:val="hybridMultilevel"/>
    <w:tmpl w:val="7F30C270"/>
    <w:lvl w:ilvl="0" w:tplc="10090017">
      <w:start w:val="1"/>
      <w:numFmt w:val="lowerLetter"/>
      <w:lvlText w:val="%1)"/>
      <w:lvlJc w:val="left"/>
      <w:pPr>
        <w:ind w:left="2160" w:hanging="360"/>
      </w:pPr>
    </w:lvl>
    <w:lvl w:ilvl="1" w:tplc="CC64AD38">
      <w:start w:val="1"/>
      <w:numFmt w:val="lowerRoman"/>
      <w:lvlText w:val="(%2)"/>
      <w:lvlJc w:val="left"/>
      <w:pPr>
        <w:ind w:left="3240" w:hanging="720"/>
      </w:pPr>
      <w:rPr>
        <w:rFonts w:hint="default"/>
      </w:r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1" w15:restartNumberingAfterBreak="0">
    <w:nsid w:val="750337D3"/>
    <w:multiLevelType w:val="hybridMultilevel"/>
    <w:tmpl w:val="BEBCC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E03084E"/>
    <w:multiLevelType w:val="hybridMultilevel"/>
    <w:tmpl w:val="8A8EE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9"/>
  </w:num>
  <w:num w:numId="14">
    <w:abstractNumId w:val="20"/>
  </w:num>
  <w:num w:numId="15">
    <w:abstractNumId w:val="10"/>
  </w:num>
  <w:num w:numId="16">
    <w:abstractNumId w:val="25"/>
  </w:num>
  <w:num w:numId="17">
    <w:abstractNumId w:val="11"/>
  </w:num>
  <w:num w:numId="18">
    <w:abstractNumId w:val="26"/>
  </w:num>
  <w:num w:numId="19">
    <w:abstractNumId w:val="31"/>
  </w:num>
  <w:num w:numId="20">
    <w:abstractNumId w:val="32"/>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7"/>
  </w:num>
  <w:num w:numId="25">
    <w:abstractNumId w:val="21"/>
  </w:num>
  <w:num w:numId="26">
    <w:abstractNumId w:val="12"/>
  </w:num>
  <w:num w:numId="27">
    <w:abstractNumId w:val="18"/>
  </w:num>
  <w:num w:numId="28">
    <w:abstractNumId w:val="29"/>
  </w:num>
  <w:num w:numId="29">
    <w:abstractNumId w:val="28"/>
  </w:num>
  <w:num w:numId="30">
    <w:abstractNumId w:val="15"/>
  </w:num>
  <w:num w:numId="31">
    <w:abstractNumId w:val="23"/>
  </w:num>
  <w:num w:numId="32">
    <w:abstractNumId w:val="16"/>
  </w:num>
  <w:num w:numId="33">
    <w:abstractNumId w:val="1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Type" w:val="plain"/>
  </w:docVars>
  <w:rsids>
    <w:rsidRoot w:val="00BF06AD"/>
    <w:rsid w:val="00001454"/>
    <w:rsid w:val="000119E2"/>
    <w:rsid w:val="00014C1C"/>
    <w:rsid w:val="00016E48"/>
    <w:rsid w:val="00017DC5"/>
    <w:rsid w:val="00017E40"/>
    <w:rsid w:val="000205A8"/>
    <w:rsid w:val="00030416"/>
    <w:rsid w:val="00032D7C"/>
    <w:rsid w:val="00034243"/>
    <w:rsid w:val="0003555B"/>
    <w:rsid w:val="00037A35"/>
    <w:rsid w:val="00043718"/>
    <w:rsid w:val="00043822"/>
    <w:rsid w:val="000462B8"/>
    <w:rsid w:val="00052A59"/>
    <w:rsid w:val="0005310C"/>
    <w:rsid w:val="000536D7"/>
    <w:rsid w:val="00054D06"/>
    <w:rsid w:val="00056A3E"/>
    <w:rsid w:val="00061393"/>
    <w:rsid w:val="00063483"/>
    <w:rsid w:val="000645CA"/>
    <w:rsid w:val="000650E7"/>
    <w:rsid w:val="000800BE"/>
    <w:rsid w:val="0008571F"/>
    <w:rsid w:val="000B5379"/>
    <w:rsid w:val="000B5384"/>
    <w:rsid w:val="000B5859"/>
    <w:rsid w:val="000B7322"/>
    <w:rsid w:val="000B772A"/>
    <w:rsid w:val="000C12C8"/>
    <w:rsid w:val="000D07D3"/>
    <w:rsid w:val="000D691F"/>
    <w:rsid w:val="000E1551"/>
    <w:rsid w:val="000E1B43"/>
    <w:rsid w:val="000E5BA9"/>
    <w:rsid w:val="000E65DE"/>
    <w:rsid w:val="000F1E49"/>
    <w:rsid w:val="000F22C6"/>
    <w:rsid w:val="000F48E6"/>
    <w:rsid w:val="00100033"/>
    <w:rsid w:val="00100AD5"/>
    <w:rsid w:val="00102A6A"/>
    <w:rsid w:val="001045B0"/>
    <w:rsid w:val="001061C2"/>
    <w:rsid w:val="001077B7"/>
    <w:rsid w:val="00107B1E"/>
    <w:rsid w:val="001145FF"/>
    <w:rsid w:val="00117D64"/>
    <w:rsid w:val="001240CC"/>
    <w:rsid w:val="00127884"/>
    <w:rsid w:val="001319B7"/>
    <w:rsid w:val="00136ECF"/>
    <w:rsid w:val="0014505E"/>
    <w:rsid w:val="00145FEC"/>
    <w:rsid w:val="00147F56"/>
    <w:rsid w:val="001503A6"/>
    <w:rsid w:val="00151201"/>
    <w:rsid w:val="00153507"/>
    <w:rsid w:val="00154907"/>
    <w:rsid w:val="0015709A"/>
    <w:rsid w:val="00160B92"/>
    <w:rsid w:val="00165F71"/>
    <w:rsid w:val="001662A5"/>
    <w:rsid w:val="0016710A"/>
    <w:rsid w:val="0017116A"/>
    <w:rsid w:val="001713A3"/>
    <w:rsid w:val="0018223E"/>
    <w:rsid w:val="00183963"/>
    <w:rsid w:val="00183C32"/>
    <w:rsid w:val="0018564E"/>
    <w:rsid w:val="00186A37"/>
    <w:rsid w:val="00192459"/>
    <w:rsid w:val="001A0005"/>
    <w:rsid w:val="001A415B"/>
    <w:rsid w:val="001A7FBC"/>
    <w:rsid w:val="001B08DF"/>
    <w:rsid w:val="001B3B2F"/>
    <w:rsid w:val="001C3480"/>
    <w:rsid w:val="001C3A39"/>
    <w:rsid w:val="001C44A9"/>
    <w:rsid w:val="001C45A2"/>
    <w:rsid w:val="001C6EB1"/>
    <w:rsid w:val="001E000D"/>
    <w:rsid w:val="001E0F75"/>
    <w:rsid w:val="001E1A57"/>
    <w:rsid w:val="001E3C7B"/>
    <w:rsid w:val="001E5221"/>
    <w:rsid w:val="001F29AB"/>
    <w:rsid w:val="001F6829"/>
    <w:rsid w:val="002003CF"/>
    <w:rsid w:val="00210904"/>
    <w:rsid w:val="002140CA"/>
    <w:rsid w:val="00220C9C"/>
    <w:rsid w:val="002217EA"/>
    <w:rsid w:val="0022460A"/>
    <w:rsid w:val="002264D8"/>
    <w:rsid w:val="002301D7"/>
    <w:rsid w:val="002304B8"/>
    <w:rsid w:val="00233CA0"/>
    <w:rsid w:val="00242D8A"/>
    <w:rsid w:val="002442E1"/>
    <w:rsid w:val="00246CF5"/>
    <w:rsid w:val="00246EB4"/>
    <w:rsid w:val="002477E4"/>
    <w:rsid w:val="00250784"/>
    <w:rsid w:val="00250B08"/>
    <w:rsid w:val="00253D55"/>
    <w:rsid w:val="00255F5D"/>
    <w:rsid w:val="002560FE"/>
    <w:rsid w:val="00264DF5"/>
    <w:rsid w:val="00266FD1"/>
    <w:rsid w:val="00267844"/>
    <w:rsid w:val="00272808"/>
    <w:rsid w:val="0027287D"/>
    <w:rsid w:val="00283DF9"/>
    <w:rsid w:val="00285678"/>
    <w:rsid w:val="00291B65"/>
    <w:rsid w:val="00292131"/>
    <w:rsid w:val="00294B7A"/>
    <w:rsid w:val="002A2C51"/>
    <w:rsid w:val="002B052C"/>
    <w:rsid w:val="002B257B"/>
    <w:rsid w:val="002B2625"/>
    <w:rsid w:val="002B489A"/>
    <w:rsid w:val="002C392D"/>
    <w:rsid w:val="002C3A17"/>
    <w:rsid w:val="002C6B60"/>
    <w:rsid w:val="002D02E2"/>
    <w:rsid w:val="002D6FE3"/>
    <w:rsid w:val="002D712A"/>
    <w:rsid w:val="002F0E78"/>
    <w:rsid w:val="002F12CF"/>
    <w:rsid w:val="002F5299"/>
    <w:rsid w:val="002F542E"/>
    <w:rsid w:val="00300E6F"/>
    <w:rsid w:val="0030335E"/>
    <w:rsid w:val="00304595"/>
    <w:rsid w:val="0030499B"/>
    <w:rsid w:val="00304CD3"/>
    <w:rsid w:val="0031076D"/>
    <w:rsid w:val="00323C36"/>
    <w:rsid w:val="00331D26"/>
    <w:rsid w:val="003415BC"/>
    <w:rsid w:val="003506C3"/>
    <w:rsid w:val="003542E9"/>
    <w:rsid w:val="0035621D"/>
    <w:rsid w:val="00357973"/>
    <w:rsid w:val="003616B9"/>
    <w:rsid w:val="003629A3"/>
    <w:rsid w:val="0036711B"/>
    <w:rsid w:val="00370F33"/>
    <w:rsid w:val="00371BF2"/>
    <w:rsid w:val="0037223B"/>
    <w:rsid w:val="0037317D"/>
    <w:rsid w:val="00373AE4"/>
    <w:rsid w:val="003803EA"/>
    <w:rsid w:val="00381273"/>
    <w:rsid w:val="00384896"/>
    <w:rsid w:val="00386F98"/>
    <w:rsid w:val="00387BD7"/>
    <w:rsid w:val="003925D5"/>
    <w:rsid w:val="00393892"/>
    <w:rsid w:val="003957F1"/>
    <w:rsid w:val="003A17EE"/>
    <w:rsid w:val="003B1765"/>
    <w:rsid w:val="003B4A4E"/>
    <w:rsid w:val="003C08A0"/>
    <w:rsid w:val="003C1745"/>
    <w:rsid w:val="003C7244"/>
    <w:rsid w:val="003C7D76"/>
    <w:rsid w:val="003D0286"/>
    <w:rsid w:val="003D0CA6"/>
    <w:rsid w:val="003D3BFC"/>
    <w:rsid w:val="003D63FA"/>
    <w:rsid w:val="003E0FFB"/>
    <w:rsid w:val="003F00D0"/>
    <w:rsid w:val="003F0134"/>
    <w:rsid w:val="003F202A"/>
    <w:rsid w:val="003F44A8"/>
    <w:rsid w:val="003F5A26"/>
    <w:rsid w:val="00406A24"/>
    <w:rsid w:val="00406BC6"/>
    <w:rsid w:val="004103C2"/>
    <w:rsid w:val="00412762"/>
    <w:rsid w:val="00420ACB"/>
    <w:rsid w:val="00420FBE"/>
    <w:rsid w:val="0042211E"/>
    <w:rsid w:val="00424642"/>
    <w:rsid w:val="00426AD9"/>
    <w:rsid w:val="0042748D"/>
    <w:rsid w:val="00430FD8"/>
    <w:rsid w:val="00437EC5"/>
    <w:rsid w:val="0044063F"/>
    <w:rsid w:val="00444DBD"/>
    <w:rsid w:val="00445620"/>
    <w:rsid w:val="00446458"/>
    <w:rsid w:val="00450C25"/>
    <w:rsid w:val="00456B57"/>
    <w:rsid w:val="00457D4D"/>
    <w:rsid w:val="0047124E"/>
    <w:rsid w:val="00480F6B"/>
    <w:rsid w:val="004832EB"/>
    <w:rsid w:val="00487572"/>
    <w:rsid w:val="00491467"/>
    <w:rsid w:val="00496172"/>
    <w:rsid w:val="00496247"/>
    <w:rsid w:val="004A3114"/>
    <w:rsid w:val="004A3625"/>
    <w:rsid w:val="004C0EC4"/>
    <w:rsid w:val="004C2B7B"/>
    <w:rsid w:val="004C426A"/>
    <w:rsid w:val="004C432D"/>
    <w:rsid w:val="004C4724"/>
    <w:rsid w:val="004C4B98"/>
    <w:rsid w:val="004C601C"/>
    <w:rsid w:val="004C7BDC"/>
    <w:rsid w:val="004D03DE"/>
    <w:rsid w:val="004D230A"/>
    <w:rsid w:val="004D27D0"/>
    <w:rsid w:val="004D4730"/>
    <w:rsid w:val="004E0378"/>
    <w:rsid w:val="004E33D5"/>
    <w:rsid w:val="004E5A23"/>
    <w:rsid w:val="004E6948"/>
    <w:rsid w:val="004F3538"/>
    <w:rsid w:val="004F6F3F"/>
    <w:rsid w:val="005015C1"/>
    <w:rsid w:val="005027C6"/>
    <w:rsid w:val="00505FF5"/>
    <w:rsid w:val="00511159"/>
    <w:rsid w:val="005202C1"/>
    <w:rsid w:val="00520359"/>
    <w:rsid w:val="00527689"/>
    <w:rsid w:val="005306D9"/>
    <w:rsid w:val="005417A9"/>
    <w:rsid w:val="00561534"/>
    <w:rsid w:val="00561565"/>
    <w:rsid w:val="0056373A"/>
    <w:rsid w:val="00563D64"/>
    <w:rsid w:val="005647A7"/>
    <w:rsid w:val="00564E13"/>
    <w:rsid w:val="005652AC"/>
    <w:rsid w:val="00565565"/>
    <w:rsid w:val="00577461"/>
    <w:rsid w:val="00577DAC"/>
    <w:rsid w:val="0058027C"/>
    <w:rsid w:val="00580AD7"/>
    <w:rsid w:val="0058220C"/>
    <w:rsid w:val="005842DB"/>
    <w:rsid w:val="0058494B"/>
    <w:rsid w:val="005906F6"/>
    <w:rsid w:val="00592ED0"/>
    <w:rsid w:val="005977A7"/>
    <w:rsid w:val="00597882"/>
    <w:rsid w:val="005A0A51"/>
    <w:rsid w:val="005A2AC6"/>
    <w:rsid w:val="005A5049"/>
    <w:rsid w:val="005B4C47"/>
    <w:rsid w:val="005C0587"/>
    <w:rsid w:val="005C3131"/>
    <w:rsid w:val="005D2B0E"/>
    <w:rsid w:val="005D4297"/>
    <w:rsid w:val="005D4859"/>
    <w:rsid w:val="005E0B38"/>
    <w:rsid w:val="00606883"/>
    <w:rsid w:val="00607DB6"/>
    <w:rsid w:val="00614881"/>
    <w:rsid w:val="0061547B"/>
    <w:rsid w:val="0062362D"/>
    <w:rsid w:val="00623ABF"/>
    <w:rsid w:val="00623EF2"/>
    <w:rsid w:val="00625697"/>
    <w:rsid w:val="00625A5E"/>
    <w:rsid w:val="006265FD"/>
    <w:rsid w:val="00627EB9"/>
    <w:rsid w:val="00632180"/>
    <w:rsid w:val="00632C4A"/>
    <w:rsid w:val="00635457"/>
    <w:rsid w:val="006457CF"/>
    <w:rsid w:val="00654886"/>
    <w:rsid w:val="00656EB0"/>
    <w:rsid w:val="00662A61"/>
    <w:rsid w:val="00664067"/>
    <w:rsid w:val="00665D44"/>
    <w:rsid w:val="00666A85"/>
    <w:rsid w:val="00667557"/>
    <w:rsid w:val="0067536C"/>
    <w:rsid w:val="00680ED7"/>
    <w:rsid w:val="00682125"/>
    <w:rsid w:val="006844A9"/>
    <w:rsid w:val="0068654A"/>
    <w:rsid w:val="006A204A"/>
    <w:rsid w:val="006A33C4"/>
    <w:rsid w:val="006B58FF"/>
    <w:rsid w:val="006B6A9B"/>
    <w:rsid w:val="006C0263"/>
    <w:rsid w:val="006C12AD"/>
    <w:rsid w:val="006C22E0"/>
    <w:rsid w:val="006C4FF3"/>
    <w:rsid w:val="006C6817"/>
    <w:rsid w:val="006C7C20"/>
    <w:rsid w:val="006D10DA"/>
    <w:rsid w:val="006D2AD1"/>
    <w:rsid w:val="006D4489"/>
    <w:rsid w:val="006D614C"/>
    <w:rsid w:val="006E1D93"/>
    <w:rsid w:val="006F78C6"/>
    <w:rsid w:val="0070197D"/>
    <w:rsid w:val="0071377B"/>
    <w:rsid w:val="00715F95"/>
    <w:rsid w:val="00722AB4"/>
    <w:rsid w:val="00725AF6"/>
    <w:rsid w:val="00730C43"/>
    <w:rsid w:val="00731C27"/>
    <w:rsid w:val="007320E8"/>
    <w:rsid w:val="0073338C"/>
    <w:rsid w:val="00737F5F"/>
    <w:rsid w:val="00750432"/>
    <w:rsid w:val="00750A39"/>
    <w:rsid w:val="007574D5"/>
    <w:rsid w:val="00775698"/>
    <w:rsid w:val="00780193"/>
    <w:rsid w:val="007813E6"/>
    <w:rsid w:val="00781639"/>
    <w:rsid w:val="00790449"/>
    <w:rsid w:val="007909AA"/>
    <w:rsid w:val="007916BF"/>
    <w:rsid w:val="0079298D"/>
    <w:rsid w:val="007957CA"/>
    <w:rsid w:val="007959D9"/>
    <w:rsid w:val="0079684D"/>
    <w:rsid w:val="00796D3D"/>
    <w:rsid w:val="007A09CF"/>
    <w:rsid w:val="007A0A7E"/>
    <w:rsid w:val="007A29FE"/>
    <w:rsid w:val="007A465A"/>
    <w:rsid w:val="007A56DA"/>
    <w:rsid w:val="007A595B"/>
    <w:rsid w:val="007A5FCB"/>
    <w:rsid w:val="007A6167"/>
    <w:rsid w:val="007B4153"/>
    <w:rsid w:val="007B4329"/>
    <w:rsid w:val="007B5262"/>
    <w:rsid w:val="007B7084"/>
    <w:rsid w:val="007C59CB"/>
    <w:rsid w:val="007D10C1"/>
    <w:rsid w:val="007D5E43"/>
    <w:rsid w:val="007D6A51"/>
    <w:rsid w:val="007F0E86"/>
    <w:rsid w:val="007F1CEA"/>
    <w:rsid w:val="007F1FD5"/>
    <w:rsid w:val="007F203D"/>
    <w:rsid w:val="007F56EE"/>
    <w:rsid w:val="00802713"/>
    <w:rsid w:val="00804260"/>
    <w:rsid w:val="00804A0C"/>
    <w:rsid w:val="00810BF9"/>
    <w:rsid w:val="00812B25"/>
    <w:rsid w:val="008215B8"/>
    <w:rsid w:val="00834025"/>
    <w:rsid w:val="00836EA4"/>
    <w:rsid w:val="008431A6"/>
    <w:rsid w:val="00843616"/>
    <w:rsid w:val="0084627B"/>
    <w:rsid w:val="00846409"/>
    <w:rsid w:val="0085019D"/>
    <w:rsid w:val="00850A33"/>
    <w:rsid w:val="00851CCA"/>
    <w:rsid w:val="00854AD6"/>
    <w:rsid w:val="008550A8"/>
    <w:rsid w:val="0086012C"/>
    <w:rsid w:val="008610C8"/>
    <w:rsid w:val="00863E71"/>
    <w:rsid w:val="00867787"/>
    <w:rsid w:val="00871DFC"/>
    <w:rsid w:val="00872A12"/>
    <w:rsid w:val="00873924"/>
    <w:rsid w:val="008847A1"/>
    <w:rsid w:val="00885EDB"/>
    <w:rsid w:val="008867C2"/>
    <w:rsid w:val="00893CC6"/>
    <w:rsid w:val="00897011"/>
    <w:rsid w:val="008A32D7"/>
    <w:rsid w:val="008B24C7"/>
    <w:rsid w:val="008B3313"/>
    <w:rsid w:val="008B480D"/>
    <w:rsid w:val="008C706B"/>
    <w:rsid w:val="008C7792"/>
    <w:rsid w:val="008C7A37"/>
    <w:rsid w:val="008D1BE0"/>
    <w:rsid w:val="008D3314"/>
    <w:rsid w:val="008D3779"/>
    <w:rsid w:val="008D6FE4"/>
    <w:rsid w:val="008D7FA9"/>
    <w:rsid w:val="008F1910"/>
    <w:rsid w:val="00904DE3"/>
    <w:rsid w:val="00907223"/>
    <w:rsid w:val="00913B36"/>
    <w:rsid w:val="00920FAF"/>
    <w:rsid w:val="009216EB"/>
    <w:rsid w:val="009253DC"/>
    <w:rsid w:val="00931D36"/>
    <w:rsid w:val="00933A36"/>
    <w:rsid w:val="00936543"/>
    <w:rsid w:val="00936D43"/>
    <w:rsid w:val="0094106C"/>
    <w:rsid w:val="00942F60"/>
    <w:rsid w:val="0094499B"/>
    <w:rsid w:val="0094533C"/>
    <w:rsid w:val="00967386"/>
    <w:rsid w:val="0097034F"/>
    <w:rsid w:val="00970EE0"/>
    <w:rsid w:val="00972597"/>
    <w:rsid w:val="00976E2C"/>
    <w:rsid w:val="009807C3"/>
    <w:rsid w:val="009829D5"/>
    <w:rsid w:val="00985DED"/>
    <w:rsid w:val="00993394"/>
    <w:rsid w:val="00997F8C"/>
    <w:rsid w:val="009A01E0"/>
    <w:rsid w:val="009A1BFC"/>
    <w:rsid w:val="009A1EF6"/>
    <w:rsid w:val="009A2FEF"/>
    <w:rsid w:val="009A39DD"/>
    <w:rsid w:val="009A5A09"/>
    <w:rsid w:val="009B1EB0"/>
    <w:rsid w:val="009B7B96"/>
    <w:rsid w:val="009C6177"/>
    <w:rsid w:val="009C6447"/>
    <w:rsid w:val="009C6C5D"/>
    <w:rsid w:val="009D08F6"/>
    <w:rsid w:val="009D275E"/>
    <w:rsid w:val="009D3407"/>
    <w:rsid w:val="009E2731"/>
    <w:rsid w:val="009E594B"/>
    <w:rsid w:val="009E5B11"/>
    <w:rsid w:val="009F71AC"/>
    <w:rsid w:val="009F7966"/>
    <w:rsid w:val="009F7D87"/>
    <w:rsid w:val="00A03B86"/>
    <w:rsid w:val="00A15750"/>
    <w:rsid w:val="00A171BD"/>
    <w:rsid w:val="00A22191"/>
    <w:rsid w:val="00A237D0"/>
    <w:rsid w:val="00A2483B"/>
    <w:rsid w:val="00A25829"/>
    <w:rsid w:val="00A317CC"/>
    <w:rsid w:val="00A364C4"/>
    <w:rsid w:val="00A4264E"/>
    <w:rsid w:val="00A46572"/>
    <w:rsid w:val="00A478A6"/>
    <w:rsid w:val="00A52CF9"/>
    <w:rsid w:val="00A60101"/>
    <w:rsid w:val="00A62143"/>
    <w:rsid w:val="00A64E9A"/>
    <w:rsid w:val="00A6676C"/>
    <w:rsid w:val="00A66AF5"/>
    <w:rsid w:val="00A66DDD"/>
    <w:rsid w:val="00A70DA1"/>
    <w:rsid w:val="00A74273"/>
    <w:rsid w:val="00A764BC"/>
    <w:rsid w:val="00A81E5B"/>
    <w:rsid w:val="00A8339B"/>
    <w:rsid w:val="00A87483"/>
    <w:rsid w:val="00A9056F"/>
    <w:rsid w:val="00A90B96"/>
    <w:rsid w:val="00A92CE7"/>
    <w:rsid w:val="00AA042B"/>
    <w:rsid w:val="00AA2678"/>
    <w:rsid w:val="00AA3E1C"/>
    <w:rsid w:val="00AA5AE0"/>
    <w:rsid w:val="00AA73D4"/>
    <w:rsid w:val="00AC3AD7"/>
    <w:rsid w:val="00AC60EE"/>
    <w:rsid w:val="00AC7944"/>
    <w:rsid w:val="00AD1660"/>
    <w:rsid w:val="00AD377A"/>
    <w:rsid w:val="00AE5649"/>
    <w:rsid w:val="00AE5D1C"/>
    <w:rsid w:val="00AE634E"/>
    <w:rsid w:val="00AF270F"/>
    <w:rsid w:val="00AF2E57"/>
    <w:rsid w:val="00AF2F74"/>
    <w:rsid w:val="00AF43C3"/>
    <w:rsid w:val="00AF55FC"/>
    <w:rsid w:val="00B03B59"/>
    <w:rsid w:val="00B23A2A"/>
    <w:rsid w:val="00B30385"/>
    <w:rsid w:val="00B33257"/>
    <w:rsid w:val="00B35681"/>
    <w:rsid w:val="00B35B70"/>
    <w:rsid w:val="00B451D1"/>
    <w:rsid w:val="00B51798"/>
    <w:rsid w:val="00B55FD5"/>
    <w:rsid w:val="00B563F3"/>
    <w:rsid w:val="00B601E4"/>
    <w:rsid w:val="00B62C31"/>
    <w:rsid w:val="00B752C8"/>
    <w:rsid w:val="00B764B6"/>
    <w:rsid w:val="00B83B65"/>
    <w:rsid w:val="00B86127"/>
    <w:rsid w:val="00B87299"/>
    <w:rsid w:val="00B9288F"/>
    <w:rsid w:val="00B94401"/>
    <w:rsid w:val="00B94E2F"/>
    <w:rsid w:val="00B97312"/>
    <w:rsid w:val="00B975F3"/>
    <w:rsid w:val="00BA3FDA"/>
    <w:rsid w:val="00BB28A3"/>
    <w:rsid w:val="00BB39FD"/>
    <w:rsid w:val="00BC0EC2"/>
    <w:rsid w:val="00BC1E8F"/>
    <w:rsid w:val="00BC2AEA"/>
    <w:rsid w:val="00BC3164"/>
    <w:rsid w:val="00BC6E68"/>
    <w:rsid w:val="00BC76AD"/>
    <w:rsid w:val="00BD23F9"/>
    <w:rsid w:val="00BD7362"/>
    <w:rsid w:val="00BF06AD"/>
    <w:rsid w:val="00BF0BF0"/>
    <w:rsid w:val="00BF2EA9"/>
    <w:rsid w:val="00BF573B"/>
    <w:rsid w:val="00BF5E8A"/>
    <w:rsid w:val="00C0305E"/>
    <w:rsid w:val="00C05483"/>
    <w:rsid w:val="00C057C5"/>
    <w:rsid w:val="00C07E37"/>
    <w:rsid w:val="00C13D14"/>
    <w:rsid w:val="00C16903"/>
    <w:rsid w:val="00C24508"/>
    <w:rsid w:val="00C40721"/>
    <w:rsid w:val="00C41E67"/>
    <w:rsid w:val="00C44CB0"/>
    <w:rsid w:val="00C44EFF"/>
    <w:rsid w:val="00C45736"/>
    <w:rsid w:val="00C52B74"/>
    <w:rsid w:val="00C53379"/>
    <w:rsid w:val="00C557DC"/>
    <w:rsid w:val="00C55F27"/>
    <w:rsid w:val="00C60CA4"/>
    <w:rsid w:val="00C65FEC"/>
    <w:rsid w:val="00C678AB"/>
    <w:rsid w:val="00C75EE1"/>
    <w:rsid w:val="00C7629B"/>
    <w:rsid w:val="00C76867"/>
    <w:rsid w:val="00C77488"/>
    <w:rsid w:val="00C7765B"/>
    <w:rsid w:val="00C777B5"/>
    <w:rsid w:val="00C77DD9"/>
    <w:rsid w:val="00C807DA"/>
    <w:rsid w:val="00C8560D"/>
    <w:rsid w:val="00C93F4D"/>
    <w:rsid w:val="00CA1092"/>
    <w:rsid w:val="00CA322E"/>
    <w:rsid w:val="00CB0FD5"/>
    <w:rsid w:val="00CB603B"/>
    <w:rsid w:val="00CB66C9"/>
    <w:rsid w:val="00CB75D0"/>
    <w:rsid w:val="00CB7883"/>
    <w:rsid w:val="00CC72B1"/>
    <w:rsid w:val="00CD17E5"/>
    <w:rsid w:val="00CD6326"/>
    <w:rsid w:val="00CE106D"/>
    <w:rsid w:val="00CE725E"/>
    <w:rsid w:val="00CF0A73"/>
    <w:rsid w:val="00CF0AEA"/>
    <w:rsid w:val="00CF25FD"/>
    <w:rsid w:val="00CF27C9"/>
    <w:rsid w:val="00CF32F0"/>
    <w:rsid w:val="00D03B74"/>
    <w:rsid w:val="00D04894"/>
    <w:rsid w:val="00D05FBE"/>
    <w:rsid w:val="00D1014D"/>
    <w:rsid w:val="00D10512"/>
    <w:rsid w:val="00D14051"/>
    <w:rsid w:val="00D15F4D"/>
    <w:rsid w:val="00D21502"/>
    <w:rsid w:val="00D22D88"/>
    <w:rsid w:val="00D25477"/>
    <w:rsid w:val="00D41D9C"/>
    <w:rsid w:val="00D42EE5"/>
    <w:rsid w:val="00D51F8A"/>
    <w:rsid w:val="00D54899"/>
    <w:rsid w:val="00D5534C"/>
    <w:rsid w:val="00D8086C"/>
    <w:rsid w:val="00D96C55"/>
    <w:rsid w:val="00DA06C7"/>
    <w:rsid w:val="00DA5359"/>
    <w:rsid w:val="00DA79A0"/>
    <w:rsid w:val="00DB72C1"/>
    <w:rsid w:val="00DC0033"/>
    <w:rsid w:val="00DC041E"/>
    <w:rsid w:val="00DC2091"/>
    <w:rsid w:val="00DC3FE4"/>
    <w:rsid w:val="00DC5BF6"/>
    <w:rsid w:val="00DD0F6D"/>
    <w:rsid w:val="00DD62E6"/>
    <w:rsid w:val="00DE2EF5"/>
    <w:rsid w:val="00DE37E8"/>
    <w:rsid w:val="00DE4AFF"/>
    <w:rsid w:val="00DF11CC"/>
    <w:rsid w:val="00DF22C3"/>
    <w:rsid w:val="00E0009B"/>
    <w:rsid w:val="00E1298C"/>
    <w:rsid w:val="00E213F0"/>
    <w:rsid w:val="00E21530"/>
    <w:rsid w:val="00E27B33"/>
    <w:rsid w:val="00E323EE"/>
    <w:rsid w:val="00E34B81"/>
    <w:rsid w:val="00E35C8D"/>
    <w:rsid w:val="00E363B1"/>
    <w:rsid w:val="00E37F2F"/>
    <w:rsid w:val="00E5148C"/>
    <w:rsid w:val="00E54B07"/>
    <w:rsid w:val="00E602DD"/>
    <w:rsid w:val="00E74832"/>
    <w:rsid w:val="00E813CB"/>
    <w:rsid w:val="00E92395"/>
    <w:rsid w:val="00E93B83"/>
    <w:rsid w:val="00E95367"/>
    <w:rsid w:val="00E96204"/>
    <w:rsid w:val="00E96B04"/>
    <w:rsid w:val="00E9733C"/>
    <w:rsid w:val="00E97984"/>
    <w:rsid w:val="00EA246E"/>
    <w:rsid w:val="00EA3499"/>
    <w:rsid w:val="00EC5A03"/>
    <w:rsid w:val="00ED61A5"/>
    <w:rsid w:val="00EE12C6"/>
    <w:rsid w:val="00EE3CC8"/>
    <w:rsid w:val="00EE48FE"/>
    <w:rsid w:val="00EF46EF"/>
    <w:rsid w:val="00EF7E99"/>
    <w:rsid w:val="00F15F35"/>
    <w:rsid w:val="00F16BBB"/>
    <w:rsid w:val="00F21AD7"/>
    <w:rsid w:val="00F242DD"/>
    <w:rsid w:val="00F24C1A"/>
    <w:rsid w:val="00F26A0F"/>
    <w:rsid w:val="00F26EA6"/>
    <w:rsid w:val="00F27079"/>
    <w:rsid w:val="00F32D2E"/>
    <w:rsid w:val="00F33052"/>
    <w:rsid w:val="00F33A58"/>
    <w:rsid w:val="00F33CE5"/>
    <w:rsid w:val="00F343FA"/>
    <w:rsid w:val="00F358BA"/>
    <w:rsid w:val="00F3771A"/>
    <w:rsid w:val="00F401E9"/>
    <w:rsid w:val="00F434BE"/>
    <w:rsid w:val="00F44619"/>
    <w:rsid w:val="00F4668A"/>
    <w:rsid w:val="00F47699"/>
    <w:rsid w:val="00F50F09"/>
    <w:rsid w:val="00F54527"/>
    <w:rsid w:val="00F546E3"/>
    <w:rsid w:val="00F54D66"/>
    <w:rsid w:val="00F55371"/>
    <w:rsid w:val="00F56E6B"/>
    <w:rsid w:val="00F57E9C"/>
    <w:rsid w:val="00F63E87"/>
    <w:rsid w:val="00F640CB"/>
    <w:rsid w:val="00F66D49"/>
    <w:rsid w:val="00F70016"/>
    <w:rsid w:val="00F821F5"/>
    <w:rsid w:val="00F830C1"/>
    <w:rsid w:val="00F83525"/>
    <w:rsid w:val="00F86A67"/>
    <w:rsid w:val="00F9285F"/>
    <w:rsid w:val="00F92D46"/>
    <w:rsid w:val="00F95993"/>
    <w:rsid w:val="00F96E63"/>
    <w:rsid w:val="00FA24E1"/>
    <w:rsid w:val="00FB4208"/>
    <w:rsid w:val="00FB5514"/>
    <w:rsid w:val="00FC5221"/>
    <w:rsid w:val="00FC5F51"/>
    <w:rsid w:val="00FC617A"/>
    <w:rsid w:val="00FD16B3"/>
    <w:rsid w:val="00FD24AA"/>
    <w:rsid w:val="00FD4FA9"/>
    <w:rsid w:val="00FE251E"/>
    <w:rsid w:val="00FE410E"/>
    <w:rsid w:val="00FE4526"/>
    <w:rsid w:val="00FE78A0"/>
    <w:rsid w:val="00FF12EE"/>
    <w:rsid w:val="00FF2E38"/>
    <w:rsid w:val="00FF4208"/>
    <w:rsid w:val="00FF5361"/>
    <w:rsid w:val="00FF586E"/>
    <w:rsid w:val="00FF750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36F2F456"/>
  <w15:docId w15:val="{07AFFA75-FA29-4351-A9F1-FF24650A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2D"/>
    <w:rPr>
      <w:sz w:val="24"/>
      <w:lang w:val="en-CA" w:eastAsia="en-US"/>
    </w:rPr>
  </w:style>
  <w:style w:type="paragraph" w:styleId="Heading1">
    <w:name w:val="heading 1"/>
    <w:basedOn w:val="Normal"/>
    <w:next w:val="Normal"/>
    <w:semiHidden/>
    <w:qFormat/>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Hpara">
    <w:name w:val="OHHpara"/>
    <w:aliases w:val="P"/>
    <w:basedOn w:val="Normal"/>
    <w:pPr>
      <w:spacing w:after="240"/>
      <w:jc w:val="both"/>
    </w:pPr>
  </w:style>
  <w:style w:type="paragraph" w:styleId="Footer">
    <w:name w:val="footer"/>
    <w:basedOn w:val="Normal"/>
    <w:link w:val="FooterChar"/>
    <w:uiPriority w:val="99"/>
    <w:pPr>
      <w:tabs>
        <w:tab w:val="center" w:pos="4680"/>
        <w:tab w:val="right" w:pos="9360"/>
      </w:tabs>
    </w:pPr>
  </w:style>
  <w:style w:type="paragraph" w:styleId="FootnoteText">
    <w:name w:val="footnote text"/>
    <w:basedOn w:val="Normal"/>
    <w:semiHidden/>
    <w:pPr>
      <w:spacing w:after="200"/>
      <w:ind w:left="360" w:hanging="360"/>
      <w:jc w:val="both"/>
    </w:pPr>
    <w:rPr>
      <w:sz w:val="20"/>
    </w:rPr>
  </w:style>
  <w:style w:type="paragraph" w:styleId="Header">
    <w:name w:val="header"/>
    <w:basedOn w:val="Normal"/>
    <w:pPr>
      <w:tabs>
        <w:tab w:val="center" w:pos="4680"/>
        <w:tab w:val="right" w:pos="9360"/>
      </w:tabs>
    </w:pPr>
  </w:style>
  <w:style w:type="paragraph" w:customStyle="1" w:styleId="OHHHanging">
    <w:name w:val="OHHHanging"/>
    <w:aliases w:val="H"/>
    <w:basedOn w:val="OHHpara"/>
    <w:pPr>
      <w:ind w:left="720" w:hanging="720"/>
    </w:pPr>
  </w:style>
  <w:style w:type="paragraph" w:customStyle="1" w:styleId="OHHCentre">
    <w:name w:val="OHHCentre"/>
    <w:aliases w:val="C"/>
    <w:basedOn w:val="OHHpara"/>
    <w:pPr>
      <w:jc w:val="center"/>
    </w:pPr>
  </w:style>
  <w:style w:type="paragraph" w:customStyle="1" w:styleId="OHHLeft">
    <w:name w:val="OHHLeft"/>
    <w:aliases w:val="L"/>
    <w:basedOn w:val="OHHpara"/>
    <w:pPr>
      <w:jc w:val="left"/>
    </w:pPr>
  </w:style>
  <w:style w:type="paragraph" w:customStyle="1" w:styleId="OHHLR">
    <w:name w:val="OHHLR"/>
    <w:aliases w:val="LR"/>
    <w:basedOn w:val="OHHpara"/>
    <w:pPr>
      <w:ind w:left="720" w:right="720"/>
    </w:pPr>
  </w:style>
  <w:style w:type="paragraph" w:customStyle="1" w:styleId="OHHLR2">
    <w:name w:val="OHHLR2"/>
    <w:aliases w:val="LR2"/>
    <w:basedOn w:val="OHHpara"/>
    <w:pPr>
      <w:ind w:left="1440" w:right="1440"/>
    </w:pPr>
  </w:style>
  <w:style w:type="paragraph" w:customStyle="1" w:styleId="OHHMainHeading">
    <w:name w:val="OHHMainHeading"/>
    <w:aliases w:val="OMH"/>
    <w:basedOn w:val="OHHpara"/>
    <w:next w:val="OHHpara"/>
    <w:pPr>
      <w:keepNext/>
      <w:keepLines/>
      <w:spacing w:before="120"/>
      <w:jc w:val="center"/>
      <w:outlineLvl w:val="0"/>
    </w:pPr>
    <w:rPr>
      <w:b/>
      <w:caps/>
      <w:u w:val="single"/>
    </w:rPr>
  </w:style>
  <w:style w:type="paragraph" w:customStyle="1" w:styleId="OHHpara1">
    <w:name w:val="OHHpara1"/>
    <w:aliases w:val="1"/>
    <w:basedOn w:val="OHHpara"/>
    <w:pPr>
      <w:ind w:left="720"/>
    </w:pPr>
  </w:style>
  <w:style w:type="paragraph" w:customStyle="1" w:styleId="OHHpara2">
    <w:name w:val="OHHpara2"/>
    <w:aliases w:val="2"/>
    <w:basedOn w:val="OHHpara"/>
    <w:pPr>
      <w:ind w:left="1440"/>
    </w:pPr>
  </w:style>
  <w:style w:type="paragraph" w:customStyle="1" w:styleId="OHHpara3">
    <w:name w:val="OHHpara3"/>
    <w:aliases w:val="3"/>
    <w:basedOn w:val="OHHpara"/>
    <w:pPr>
      <w:ind w:left="2160"/>
    </w:pPr>
  </w:style>
  <w:style w:type="paragraph" w:customStyle="1" w:styleId="OHHpara4">
    <w:name w:val="OHHpara4"/>
    <w:aliases w:val="4"/>
    <w:basedOn w:val="OHHpara"/>
    <w:pPr>
      <w:ind w:left="2880"/>
    </w:pPr>
  </w:style>
  <w:style w:type="paragraph" w:customStyle="1" w:styleId="OHHpara5">
    <w:name w:val="OHHpara5"/>
    <w:aliases w:val="5"/>
    <w:basedOn w:val="OHHpara"/>
    <w:pPr>
      <w:ind w:left="3600"/>
    </w:pPr>
  </w:style>
  <w:style w:type="paragraph" w:customStyle="1" w:styleId="OHHPlain">
    <w:name w:val="OHHPlain"/>
    <w:basedOn w:val="Normal"/>
  </w:style>
  <w:style w:type="paragraph" w:customStyle="1" w:styleId="OHHQuote">
    <w:name w:val="OHHQuote"/>
    <w:aliases w:val="Q"/>
    <w:basedOn w:val="Normal"/>
    <w:pPr>
      <w:spacing w:after="240"/>
      <w:ind w:left="1440" w:right="1440"/>
      <w:jc w:val="both"/>
    </w:pPr>
    <w:rPr>
      <w:sz w:val="20"/>
    </w:rPr>
  </w:style>
  <w:style w:type="paragraph" w:customStyle="1" w:styleId="OHHReference">
    <w:name w:val="OHHReference"/>
    <w:aliases w:val="Ref"/>
    <w:basedOn w:val="OHHQuote"/>
    <w:rPr>
      <w:b/>
    </w:rPr>
  </w:style>
  <w:style w:type="paragraph" w:customStyle="1" w:styleId="OHHRight">
    <w:name w:val="OHHRight"/>
    <w:aliases w:val="R"/>
    <w:basedOn w:val="OHHpara"/>
    <w:pPr>
      <w:jc w:val="right"/>
    </w:pPr>
  </w:style>
  <w:style w:type="paragraph" w:customStyle="1" w:styleId="OHHSubHeading">
    <w:name w:val="OHHSubHeading"/>
    <w:aliases w:val="OSH"/>
    <w:basedOn w:val="OHHpara"/>
    <w:next w:val="OHHpara"/>
    <w:pPr>
      <w:keepNext/>
      <w:keepLines/>
      <w:spacing w:before="120"/>
      <w:jc w:val="left"/>
      <w:outlineLvl w:val="1"/>
    </w:pPr>
    <w:rPr>
      <w:b/>
      <w:u w:val="single"/>
    </w:rPr>
  </w:style>
  <w:style w:type="paragraph" w:customStyle="1" w:styleId="OHHTab">
    <w:name w:val="OHHTab"/>
    <w:aliases w:val="T"/>
    <w:basedOn w:val="OHHpara"/>
    <w:pPr>
      <w:ind w:firstLine="720"/>
    </w:pPr>
  </w:style>
  <w:style w:type="paragraph" w:customStyle="1" w:styleId="OHHTab2">
    <w:name w:val="OHHTab2"/>
    <w:aliases w:val="T2"/>
    <w:basedOn w:val="OHHpara"/>
    <w:pPr>
      <w:ind w:firstLine="1440"/>
    </w:pPr>
  </w:style>
  <w:style w:type="character" w:styleId="PageNumber">
    <w:name w:val="page number"/>
    <w:rsid w:val="00100AD5"/>
  </w:style>
  <w:style w:type="character" w:customStyle="1" w:styleId="Prompt">
    <w:name w:val="Prompt"/>
    <w:aliases w:val="PR"/>
    <w:basedOn w:val="DefaultParagraphFont"/>
    <w:rPr>
      <w:color w:val="auto"/>
    </w:rPr>
  </w:style>
  <w:style w:type="paragraph" w:customStyle="1" w:styleId="Schedule">
    <w:name w:val="Schedule"/>
    <w:aliases w:val="Sch"/>
    <w:basedOn w:val="OHHpara"/>
    <w:next w:val="OHHpara"/>
    <w:pPr>
      <w:keepNext/>
      <w:jc w:val="center"/>
    </w:pPr>
    <w:rPr>
      <w:b/>
      <w:caps/>
    </w:rPr>
  </w:style>
  <w:style w:type="paragraph" w:customStyle="1" w:styleId="OHHTableHead">
    <w:name w:val="OHHTableHead"/>
    <w:aliases w:val="TH"/>
    <w:basedOn w:val="OHHpara"/>
    <w:pPr>
      <w:keepNext/>
      <w:keepLines/>
      <w:spacing w:before="60" w:after="60"/>
      <w:jc w:val="center"/>
    </w:pPr>
    <w:rPr>
      <w:b/>
    </w:rPr>
  </w:style>
  <w:style w:type="paragraph" w:customStyle="1" w:styleId="OHHTableText">
    <w:name w:val="OHHTableText"/>
    <w:aliases w:val="TT"/>
    <w:basedOn w:val="OHHpara"/>
    <w:pPr>
      <w:spacing w:before="60" w:after="60"/>
      <w:jc w:val="left"/>
    </w:pPr>
    <w:rPr>
      <w:szCs w:val="24"/>
    </w:rPr>
  </w:style>
  <w:style w:type="paragraph" w:styleId="Date">
    <w:name w:val="Date"/>
    <w:basedOn w:val="Normal"/>
    <w:next w:val="Normal"/>
    <w:link w:val="DateChar"/>
    <w:rsid w:val="00F44619"/>
    <w:pPr>
      <w:spacing w:after="240"/>
    </w:pPr>
  </w:style>
  <w:style w:type="character" w:customStyle="1" w:styleId="DateChar">
    <w:name w:val="Date Char"/>
    <w:basedOn w:val="DefaultParagraphFont"/>
    <w:link w:val="Date"/>
    <w:rsid w:val="00F44619"/>
    <w:rPr>
      <w:sz w:val="24"/>
      <w:lang w:val="en-CA" w:eastAsia="en-US"/>
    </w:rPr>
  </w:style>
  <w:style w:type="paragraph" w:styleId="BodyText">
    <w:name w:val="Body Text"/>
    <w:link w:val="BodyTextChar"/>
    <w:uiPriority w:val="99"/>
    <w:semiHidden/>
    <w:unhideWhenUsed/>
    <w:rsid w:val="00100AD5"/>
    <w:pPr>
      <w:spacing w:after="120"/>
    </w:pPr>
    <w:rPr>
      <w:noProof/>
      <w:sz w:val="24"/>
      <w:lang w:val="en-CA" w:eastAsia="en-US"/>
    </w:rPr>
  </w:style>
  <w:style w:type="character" w:customStyle="1" w:styleId="BodyTextChar">
    <w:name w:val="Body Text Char"/>
    <w:basedOn w:val="DefaultParagraphFont"/>
    <w:link w:val="BodyText"/>
    <w:uiPriority w:val="99"/>
    <w:semiHidden/>
    <w:rsid w:val="00100AD5"/>
    <w:rPr>
      <w:noProof/>
      <w:sz w:val="24"/>
      <w:lang w:val="en-CA" w:eastAsia="en-US"/>
    </w:rPr>
  </w:style>
  <w:style w:type="character" w:styleId="FootnoteReference">
    <w:name w:val="footnote reference"/>
    <w:basedOn w:val="DefaultParagraphFont"/>
    <w:uiPriority w:val="99"/>
    <w:semiHidden/>
    <w:unhideWhenUsed/>
    <w:rsid w:val="004D4730"/>
    <w:rPr>
      <w:vertAlign w:val="superscript"/>
    </w:rPr>
  </w:style>
  <w:style w:type="character" w:customStyle="1" w:styleId="FooterChar">
    <w:name w:val="Footer Char"/>
    <w:basedOn w:val="DefaultParagraphFont"/>
    <w:link w:val="Footer"/>
    <w:uiPriority w:val="99"/>
    <w:rsid w:val="00127884"/>
    <w:rPr>
      <w:sz w:val="24"/>
      <w:lang w:val="en-CA" w:eastAsia="en-US"/>
    </w:rPr>
  </w:style>
  <w:style w:type="paragraph" w:customStyle="1" w:styleId="DocsID">
    <w:name w:val="DocsID"/>
    <w:basedOn w:val="Normal"/>
    <w:rsid w:val="009D275E"/>
    <w:pPr>
      <w:spacing w:before="20"/>
    </w:pPr>
    <w:rPr>
      <w:color w:val="000000"/>
      <w:sz w:val="12"/>
      <w:szCs w:val="12"/>
    </w:rPr>
  </w:style>
  <w:style w:type="character" w:styleId="CommentReference">
    <w:name w:val="annotation reference"/>
    <w:basedOn w:val="DefaultParagraphFont"/>
    <w:uiPriority w:val="99"/>
    <w:semiHidden/>
    <w:unhideWhenUsed/>
    <w:rsid w:val="00FD16B3"/>
    <w:rPr>
      <w:sz w:val="16"/>
      <w:szCs w:val="16"/>
    </w:rPr>
  </w:style>
  <w:style w:type="paragraph" w:styleId="CommentText">
    <w:name w:val="annotation text"/>
    <w:basedOn w:val="Normal"/>
    <w:link w:val="CommentTextChar"/>
    <w:uiPriority w:val="99"/>
    <w:semiHidden/>
    <w:unhideWhenUsed/>
    <w:rsid w:val="00FD16B3"/>
    <w:rPr>
      <w:sz w:val="20"/>
    </w:rPr>
  </w:style>
  <w:style w:type="character" w:customStyle="1" w:styleId="CommentTextChar">
    <w:name w:val="Comment Text Char"/>
    <w:basedOn w:val="DefaultParagraphFont"/>
    <w:link w:val="CommentText"/>
    <w:uiPriority w:val="99"/>
    <w:semiHidden/>
    <w:rsid w:val="00FD16B3"/>
    <w:rPr>
      <w:lang w:val="en-CA" w:eastAsia="en-US"/>
    </w:rPr>
  </w:style>
  <w:style w:type="paragraph" w:styleId="CommentSubject">
    <w:name w:val="annotation subject"/>
    <w:basedOn w:val="CommentText"/>
    <w:next w:val="CommentText"/>
    <w:link w:val="CommentSubjectChar"/>
    <w:uiPriority w:val="99"/>
    <w:semiHidden/>
    <w:unhideWhenUsed/>
    <w:rsid w:val="00FD16B3"/>
    <w:rPr>
      <w:b/>
      <w:bCs/>
    </w:rPr>
  </w:style>
  <w:style w:type="character" w:customStyle="1" w:styleId="CommentSubjectChar">
    <w:name w:val="Comment Subject Char"/>
    <w:basedOn w:val="CommentTextChar"/>
    <w:link w:val="CommentSubject"/>
    <w:uiPriority w:val="99"/>
    <w:semiHidden/>
    <w:rsid w:val="00FD16B3"/>
    <w:rPr>
      <w:b/>
      <w:bCs/>
      <w:lang w:val="en-CA" w:eastAsia="en-US"/>
    </w:rPr>
  </w:style>
  <w:style w:type="paragraph" w:styleId="BalloonText">
    <w:name w:val="Balloon Text"/>
    <w:basedOn w:val="Normal"/>
    <w:link w:val="BalloonTextChar"/>
    <w:uiPriority w:val="99"/>
    <w:semiHidden/>
    <w:unhideWhenUsed/>
    <w:rsid w:val="00FD1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6B3"/>
    <w:rPr>
      <w:rFonts w:ascii="Segoe UI" w:hAnsi="Segoe UI" w:cs="Segoe UI"/>
      <w:sz w:val="18"/>
      <w:szCs w:val="18"/>
      <w:lang w:val="en-CA" w:eastAsia="en-US"/>
    </w:rPr>
  </w:style>
  <w:style w:type="character" w:styleId="Hyperlink">
    <w:name w:val="Hyperlink"/>
    <w:basedOn w:val="DefaultParagraphFont"/>
    <w:uiPriority w:val="99"/>
    <w:unhideWhenUsed/>
    <w:rsid w:val="00496247"/>
    <w:rPr>
      <w:color w:val="0000FF" w:themeColor="hyperlink"/>
      <w:u w:val="single"/>
    </w:rPr>
  </w:style>
  <w:style w:type="paragraph" w:customStyle="1" w:styleId="ArticleL1">
    <w:name w:val="Article_L1"/>
    <w:basedOn w:val="Normal"/>
    <w:next w:val="ArticleL2"/>
    <w:rsid w:val="00FF4208"/>
    <w:pPr>
      <w:keepNext/>
      <w:numPr>
        <w:numId w:val="21"/>
      </w:numPr>
      <w:spacing w:after="240"/>
      <w:jc w:val="center"/>
      <w:outlineLvl w:val="0"/>
    </w:pPr>
    <w:rPr>
      <w:b/>
      <w:caps/>
      <w:sz w:val="22"/>
    </w:rPr>
  </w:style>
  <w:style w:type="paragraph" w:customStyle="1" w:styleId="ArticleL2">
    <w:name w:val="Article_L2"/>
    <w:basedOn w:val="ArticleL1"/>
    <w:next w:val="OHHpara"/>
    <w:rsid w:val="00FF4208"/>
    <w:pPr>
      <w:numPr>
        <w:ilvl w:val="1"/>
      </w:numPr>
      <w:jc w:val="both"/>
      <w:outlineLvl w:val="1"/>
    </w:pPr>
    <w:rPr>
      <w:caps w:val="0"/>
    </w:rPr>
  </w:style>
  <w:style w:type="paragraph" w:customStyle="1" w:styleId="ArticleL3">
    <w:name w:val="Article_L3"/>
    <w:basedOn w:val="ArticleL2"/>
    <w:link w:val="ArticleL3Char"/>
    <w:rsid w:val="00FF4208"/>
    <w:pPr>
      <w:keepNext w:val="0"/>
      <w:numPr>
        <w:ilvl w:val="2"/>
      </w:numPr>
      <w:outlineLvl w:val="2"/>
    </w:pPr>
    <w:rPr>
      <w:b w:val="0"/>
    </w:rPr>
  </w:style>
  <w:style w:type="paragraph" w:customStyle="1" w:styleId="ArticleL4">
    <w:name w:val="Article_L4"/>
    <w:basedOn w:val="ArticleL3"/>
    <w:rsid w:val="00FF4208"/>
    <w:pPr>
      <w:numPr>
        <w:ilvl w:val="3"/>
      </w:numPr>
      <w:tabs>
        <w:tab w:val="clear" w:pos="2160"/>
        <w:tab w:val="num" w:pos="360"/>
      </w:tabs>
      <w:ind w:left="360" w:hanging="360"/>
      <w:outlineLvl w:val="3"/>
    </w:pPr>
  </w:style>
  <w:style w:type="paragraph" w:customStyle="1" w:styleId="ArticleL5">
    <w:name w:val="Article_L5"/>
    <w:basedOn w:val="ArticleL4"/>
    <w:rsid w:val="00FF4208"/>
    <w:pPr>
      <w:numPr>
        <w:ilvl w:val="4"/>
      </w:numPr>
      <w:tabs>
        <w:tab w:val="clear" w:pos="2880"/>
        <w:tab w:val="num" w:pos="360"/>
      </w:tabs>
      <w:ind w:left="360" w:hanging="360"/>
      <w:outlineLvl w:val="4"/>
    </w:pPr>
  </w:style>
  <w:style w:type="paragraph" w:customStyle="1" w:styleId="ArticleL6">
    <w:name w:val="Article_L6"/>
    <w:basedOn w:val="ArticleL5"/>
    <w:rsid w:val="00FF4208"/>
    <w:pPr>
      <w:numPr>
        <w:ilvl w:val="5"/>
      </w:numPr>
      <w:tabs>
        <w:tab w:val="clear" w:pos="3600"/>
        <w:tab w:val="num" w:pos="360"/>
      </w:tabs>
      <w:ind w:left="360" w:hanging="360"/>
      <w:outlineLvl w:val="5"/>
    </w:pPr>
  </w:style>
  <w:style w:type="paragraph" w:customStyle="1" w:styleId="ArticleL7">
    <w:name w:val="Article_L7"/>
    <w:basedOn w:val="ArticleL6"/>
    <w:rsid w:val="00FF4208"/>
    <w:pPr>
      <w:numPr>
        <w:ilvl w:val="6"/>
      </w:numPr>
      <w:tabs>
        <w:tab w:val="clear" w:pos="4320"/>
        <w:tab w:val="num" w:pos="360"/>
      </w:tabs>
      <w:ind w:left="360" w:hanging="360"/>
      <w:outlineLvl w:val="6"/>
    </w:pPr>
  </w:style>
  <w:style w:type="paragraph" w:customStyle="1" w:styleId="ArticleL8">
    <w:name w:val="Article_L8"/>
    <w:basedOn w:val="ArticleL7"/>
    <w:rsid w:val="00FF4208"/>
    <w:pPr>
      <w:numPr>
        <w:ilvl w:val="7"/>
      </w:numPr>
      <w:tabs>
        <w:tab w:val="clear" w:pos="5040"/>
        <w:tab w:val="num" w:pos="360"/>
      </w:tabs>
      <w:ind w:left="360" w:hanging="360"/>
      <w:outlineLvl w:val="7"/>
    </w:pPr>
  </w:style>
  <w:style w:type="paragraph" w:customStyle="1" w:styleId="ArticleL9">
    <w:name w:val="Article_L9"/>
    <w:basedOn w:val="ArticleL8"/>
    <w:rsid w:val="00FF4208"/>
    <w:pPr>
      <w:numPr>
        <w:ilvl w:val="8"/>
      </w:numPr>
      <w:tabs>
        <w:tab w:val="clear" w:pos="5760"/>
        <w:tab w:val="num" w:pos="360"/>
      </w:tabs>
      <w:ind w:left="360" w:hanging="360"/>
      <w:outlineLvl w:val="8"/>
    </w:pPr>
  </w:style>
  <w:style w:type="character" w:customStyle="1" w:styleId="ArticleL3Char">
    <w:name w:val="Article_L3 Char"/>
    <w:basedOn w:val="DefaultParagraphFont"/>
    <w:link w:val="ArticleL3"/>
    <w:rsid w:val="00FF4208"/>
    <w:rPr>
      <w:sz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878707">
      <w:bodyDiv w:val="1"/>
      <w:marLeft w:val="0"/>
      <w:marRight w:val="0"/>
      <w:marTop w:val="0"/>
      <w:marBottom w:val="0"/>
      <w:divBdr>
        <w:top w:val="none" w:sz="0" w:space="0" w:color="auto"/>
        <w:left w:val="none" w:sz="0" w:space="0" w:color="auto"/>
        <w:bottom w:val="none" w:sz="0" w:space="0" w:color="auto"/>
        <w:right w:val="none" w:sz="0" w:space="0" w:color="auto"/>
      </w:divBdr>
    </w:div>
    <w:div w:id="826360441">
      <w:bodyDiv w:val="1"/>
      <w:marLeft w:val="0"/>
      <w:marRight w:val="0"/>
      <w:marTop w:val="0"/>
      <w:marBottom w:val="0"/>
      <w:divBdr>
        <w:top w:val="none" w:sz="0" w:space="0" w:color="auto"/>
        <w:left w:val="none" w:sz="0" w:space="0" w:color="auto"/>
        <w:bottom w:val="none" w:sz="0" w:space="0" w:color="auto"/>
        <w:right w:val="none" w:sz="0" w:space="0" w:color="auto"/>
      </w:divBdr>
      <w:divsChild>
        <w:div w:id="709383709">
          <w:marLeft w:val="0"/>
          <w:marRight w:val="0"/>
          <w:marTop w:val="0"/>
          <w:marBottom w:val="0"/>
          <w:divBdr>
            <w:top w:val="none" w:sz="0" w:space="0" w:color="auto"/>
            <w:left w:val="none" w:sz="0" w:space="0" w:color="auto"/>
            <w:bottom w:val="none" w:sz="0" w:space="0" w:color="auto"/>
            <w:right w:val="none" w:sz="0" w:space="0" w:color="auto"/>
          </w:divBdr>
          <w:divsChild>
            <w:div w:id="826673013">
              <w:marLeft w:val="0"/>
              <w:marRight w:val="0"/>
              <w:marTop w:val="0"/>
              <w:marBottom w:val="0"/>
              <w:divBdr>
                <w:top w:val="none" w:sz="0" w:space="0" w:color="auto"/>
                <w:left w:val="none" w:sz="0" w:space="0" w:color="auto"/>
                <w:bottom w:val="none" w:sz="0" w:space="0" w:color="auto"/>
                <w:right w:val="none" w:sz="0" w:space="0" w:color="auto"/>
              </w:divBdr>
              <w:divsChild>
                <w:div w:id="1795901646">
                  <w:marLeft w:val="0"/>
                  <w:marRight w:val="0"/>
                  <w:marTop w:val="0"/>
                  <w:marBottom w:val="0"/>
                  <w:divBdr>
                    <w:top w:val="none" w:sz="0" w:space="0" w:color="auto"/>
                    <w:left w:val="none" w:sz="0" w:space="0" w:color="auto"/>
                    <w:bottom w:val="none" w:sz="0" w:space="0" w:color="auto"/>
                    <w:right w:val="none" w:sz="0" w:space="0" w:color="auto"/>
                  </w:divBdr>
                  <w:divsChild>
                    <w:div w:id="1295330330">
                      <w:marLeft w:val="0"/>
                      <w:marRight w:val="0"/>
                      <w:marTop w:val="0"/>
                      <w:marBottom w:val="0"/>
                      <w:divBdr>
                        <w:top w:val="none" w:sz="0" w:space="0" w:color="auto"/>
                        <w:left w:val="none" w:sz="0" w:space="0" w:color="auto"/>
                        <w:bottom w:val="none" w:sz="0" w:space="0" w:color="auto"/>
                        <w:right w:val="none" w:sz="0" w:space="0" w:color="auto"/>
                      </w:divBdr>
                      <w:divsChild>
                        <w:div w:id="2841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967240">
      <w:bodyDiv w:val="1"/>
      <w:marLeft w:val="150"/>
      <w:marRight w:val="150"/>
      <w:marTop w:val="0"/>
      <w:marBottom w:val="0"/>
      <w:divBdr>
        <w:top w:val="none" w:sz="0" w:space="0" w:color="auto"/>
        <w:left w:val="none" w:sz="0" w:space="0" w:color="auto"/>
        <w:bottom w:val="none" w:sz="0" w:space="0" w:color="auto"/>
        <w:right w:val="none" w:sz="0" w:space="0" w:color="auto"/>
      </w:divBdr>
      <w:divsChild>
        <w:div w:id="22827476">
          <w:marLeft w:val="0"/>
          <w:marRight w:val="0"/>
          <w:marTop w:val="100"/>
          <w:marBottom w:val="100"/>
          <w:divBdr>
            <w:top w:val="none" w:sz="0" w:space="0" w:color="auto"/>
            <w:left w:val="none" w:sz="0" w:space="0" w:color="auto"/>
            <w:bottom w:val="none" w:sz="0" w:space="0" w:color="auto"/>
            <w:right w:val="none" w:sz="0" w:space="0" w:color="auto"/>
          </w:divBdr>
          <w:divsChild>
            <w:div w:id="2038004197">
              <w:marLeft w:val="0"/>
              <w:marRight w:val="0"/>
              <w:marTop w:val="100"/>
              <w:marBottom w:val="100"/>
              <w:divBdr>
                <w:top w:val="none" w:sz="0" w:space="0" w:color="auto"/>
                <w:left w:val="none" w:sz="0" w:space="0" w:color="auto"/>
                <w:bottom w:val="none" w:sz="0" w:space="0" w:color="auto"/>
                <w:right w:val="none" w:sz="0" w:space="0" w:color="auto"/>
              </w:divBdr>
              <w:divsChild>
                <w:div w:id="814906436">
                  <w:marLeft w:val="0"/>
                  <w:marRight w:val="0"/>
                  <w:marTop w:val="0"/>
                  <w:marBottom w:val="300"/>
                  <w:divBdr>
                    <w:top w:val="none" w:sz="0" w:space="0" w:color="auto"/>
                    <w:left w:val="none" w:sz="0" w:space="0" w:color="auto"/>
                    <w:bottom w:val="none" w:sz="0" w:space="0" w:color="auto"/>
                    <w:right w:val="none" w:sz="0" w:space="0" w:color="auto"/>
                  </w:divBdr>
                  <w:divsChild>
                    <w:div w:id="543560640">
                      <w:marLeft w:val="0"/>
                      <w:marRight w:val="0"/>
                      <w:marTop w:val="0"/>
                      <w:marBottom w:val="0"/>
                      <w:divBdr>
                        <w:top w:val="none" w:sz="0" w:space="0" w:color="auto"/>
                        <w:left w:val="none" w:sz="0" w:space="0" w:color="auto"/>
                        <w:bottom w:val="none" w:sz="0" w:space="0" w:color="auto"/>
                        <w:right w:val="none" w:sz="0" w:space="0" w:color="auto"/>
                      </w:divBdr>
                      <w:divsChild>
                        <w:div w:id="8099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1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suc.on.ca/with.aspx?id=21474994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OHH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46E78-E272-4B5B-B367-D859BC8A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OHHStandard.dotm</Template>
  <TotalTime>0</TotalTime>
  <Pages>16</Pages>
  <Words>4807</Words>
  <Characters>25771</Characters>
  <Application>Microsoft Office Word</Application>
  <DocSecurity>0</DocSecurity>
  <Lines>1610</Lines>
  <Paragraphs>418</Paragraphs>
  <ScaleCrop>false</ScaleCrop>
  <HeadingPairs>
    <vt:vector size="2" baseType="variant">
      <vt:variant>
        <vt:lpstr>Title</vt:lpstr>
      </vt:variant>
      <vt:variant>
        <vt:i4>1</vt:i4>
      </vt:variant>
    </vt:vector>
  </HeadingPairs>
  <TitlesOfParts>
    <vt:vector size="1" baseType="lpstr">
      <vt:lpstr/>
    </vt:vector>
  </TitlesOfParts>
  <Manager/>
  <Company>Osler, Hoskin &amp; Harcourt LLP</Company>
  <LinksUpToDate>false</LinksUpToDate>
  <CharactersWithSpaces>30160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nchin</dc:creator>
  <cp:keywords/>
  <dc:description>English v3.02</dc:description>
  <cp:lastModifiedBy>Jackson, Christine</cp:lastModifiedBy>
  <cp:revision>3</cp:revision>
  <cp:lastPrinted>2016-11-23T22:10:00Z</cp:lastPrinted>
  <dcterms:created xsi:type="dcterms:W3CDTF">2017-01-19T15:27:00Z</dcterms:created>
  <dcterms:modified xsi:type="dcterms:W3CDTF">2017-01-19T15:27:00Z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LEGAL_1:42592414.4</vt:lpwstr>
  </property>
</Properties>
</file>